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C7CDF" w14:textId="14FECEC0" w:rsidR="00FA251F" w:rsidRPr="00DA06A9" w:rsidRDefault="003276AE" w:rsidP="00785E5B">
      <w:pPr>
        <w:spacing w:after="0" w:line="240" w:lineRule="auto"/>
        <w:jc w:val="center"/>
        <w:rPr>
          <w:rFonts w:ascii="Century Gothic" w:eastAsia="Times New Roman" w:hAnsi="Century Gothic" w:cs="Times New Roman"/>
          <w:b/>
          <w:bCs/>
          <w:caps/>
          <w:color w:val="2E74B5" w:themeColor="accent5" w:themeShade="BF"/>
          <w:sz w:val="28"/>
          <w:szCs w:val="28"/>
        </w:rPr>
      </w:pPr>
      <w:r w:rsidRPr="00DA06A9">
        <w:rPr>
          <w:rFonts w:ascii="Century Gothic" w:eastAsia="Times New Roman" w:hAnsi="Century Gothic" w:cs="Calibri"/>
          <w:b/>
          <w:bCs/>
          <w:caps/>
          <w:color w:val="2E74B5" w:themeColor="accent5" w:themeShade="BF"/>
          <w:sz w:val="28"/>
          <w:szCs w:val="28"/>
        </w:rPr>
        <w:t xml:space="preserve">OPERATIONS </w:t>
      </w:r>
      <w:r w:rsidR="00FA251F" w:rsidRPr="00DA06A9">
        <w:rPr>
          <w:rFonts w:ascii="Century Gothic" w:eastAsia="Times New Roman" w:hAnsi="Century Gothic" w:cs="Calibri"/>
          <w:b/>
          <w:bCs/>
          <w:caps/>
          <w:color w:val="2E74B5" w:themeColor="accent5" w:themeShade="BF"/>
          <w:sz w:val="28"/>
          <w:szCs w:val="28"/>
        </w:rPr>
        <w:t>Manual for Approved Providers</w:t>
      </w:r>
    </w:p>
    <w:p w14:paraId="501F4C0E" w14:textId="77777777" w:rsidR="00FA251F" w:rsidRPr="00DA06A9" w:rsidRDefault="00FA251F" w:rsidP="00785E5B">
      <w:pPr>
        <w:spacing w:after="0" w:line="240" w:lineRule="auto"/>
        <w:jc w:val="center"/>
        <w:rPr>
          <w:rFonts w:ascii="Century Gothic" w:eastAsia="Times New Roman" w:hAnsi="Century Gothic" w:cs="Times New Roman"/>
          <w:b/>
          <w:bCs/>
          <w:caps/>
          <w:color w:val="2E74B5" w:themeColor="accent5" w:themeShade="BF"/>
          <w:sz w:val="28"/>
          <w:szCs w:val="28"/>
        </w:rPr>
      </w:pPr>
      <w:r w:rsidRPr="00DA06A9">
        <w:rPr>
          <w:rFonts w:ascii="Century Gothic" w:eastAsia="Times New Roman" w:hAnsi="Century Gothic" w:cs="Calibri"/>
          <w:b/>
          <w:bCs/>
          <w:caps/>
          <w:color w:val="2E74B5" w:themeColor="accent5" w:themeShade="BF"/>
          <w:sz w:val="28"/>
          <w:szCs w:val="28"/>
        </w:rPr>
        <w:t>Providing Continuing Education to Athletic Trainers</w:t>
      </w:r>
    </w:p>
    <w:p w14:paraId="231FCFC7" w14:textId="77777777" w:rsidR="00C97F79" w:rsidRPr="00DA06A9" w:rsidRDefault="00C97F79" w:rsidP="00FA251F">
      <w:pPr>
        <w:spacing w:after="0" w:line="240" w:lineRule="auto"/>
        <w:rPr>
          <w:rFonts w:ascii="Akzidenz Grotesk BE Regular" w:eastAsia="Times New Roman" w:hAnsi="Akzidenz Grotesk BE Regular" w:cs="Times New Roman"/>
          <w:color w:val="2E74B5" w:themeColor="accent5" w:themeShade="BF"/>
          <w:sz w:val="24"/>
          <w:szCs w:val="24"/>
        </w:rPr>
      </w:pPr>
    </w:p>
    <w:p w14:paraId="60278109" w14:textId="7773736B" w:rsidR="00FA251F" w:rsidRPr="00DA06A9" w:rsidRDefault="00FA251F" w:rsidP="00FA251F">
      <w:pPr>
        <w:spacing w:after="0" w:line="240" w:lineRule="auto"/>
        <w:rPr>
          <w:rFonts w:ascii="Century Gothic" w:eastAsia="Times New Roman" w:hAnsi="Century Gothic" w:cs="Times New Roman"/>
          <w:sz w:val="24"/>
          <w:szCs w:val="24"/>
        </w:rPr>
      </w:pPr>
      <w:r w:rsidRPr="00DA06A9">
        <w:rPr>
          <w:rFonts w:ascii="Century Gothic" w:eastAsia="Times New Roman" w:hAnsi="Century Gothic" w:cs="Calibri"/>
          <w:b/>
          <w:bCs/>
          <w:color w:val="000000"/>
          <w:sz w:val="24"/>
          <w:szCs w:val="24"/>
        </w:rPr>
        <w:t>Required Policies:</w:t>
      </w:r>
    </w:p>
    <w:p w14:paraId="668E12E1" w14:textId="77777777" w:rsidR="00FA251F" w:rsidRPr="00DA06A9" w:rsidRDefault="00FA251F" w:rsidP="00FA251F">
      <w:pPr>
        <w:spacing w:after="0" w:line="240" w:lineRule="auto"/>
        <w:rPr>
          <w:rFonts w:ascii="Century Gothic" w:eastAsia="Times New Roman" w:hAnsi="Century Gothic" w:cs="Times New Roman"/>
          <w:sz w:val="24"/>
          <w:szCs w:val="24"/>
        </w:rPr>
      </w:pPr>
    </w:p>
    <w:p w14:paraId="73772F0E" w14:textId="1C39D2F8" w:rsidR="00FA251F" w:rsidRPr="00DA06A9" w:rsidRDefault="00FA251F" w:rsidP="00FA251F">
      <w:pPr>
        <w:spacing w:after="0" w:line="240" w:lineRule="auto"/>
        <w:rPr>
          <w:rFonts w:ascii="Century Gothic" w:eastAsia="Times New Roman" w:hAnsi="Century Gothic" w:cs="Times New Roman"/>
          <w:sz w:val="24"/>
          <w:szCs w:val="24"/>
        </w:rPr>
      </w:pPr>
      <w:r w:rsidRPr="00DA06A9">
        <w:rPr>
          <w:rFonts w:ascii="Century Gothic" w:eastAsia="Times New Roman" w:hAnsi="Century Gothic" w:cs="Calibri"/>
          <w:b/>
          <w:bCs/>
          <w:color w:val="000000"/>
          <w:sz w:val="24"/>
          <w:szCs w:val="24"/>
        </w:rPr>
        <w:t>Non-Discriminat</w:t>
      </w:r>
      <w:r w:rsidR="00856184" w:rsidRPr="00DA06A9">
        <w:rPr>
          <w:rFonts w:ascii="Century Gothic" w:eastAsia="Times New Roman" w:hAnsi="Century Gothic" w:cs="Calibri"/>
          <w:b/>
          <w:bCs/>
          <w:color w:val="000000"/>
          <w:sz w:val="24"/>
          <w:szCs w:val="24"/>
        </w:rPr>
        <w:t>ion</w:t>
      </w:r>
      <w:r w:rsidRPr="00DA06A9">
        <w:rPr>
          <w:rFonts w:ascii="Century Gothic" w:eastAsia="Times New Roman" w:hAnsi="Century Gothic" w:cs="Calibri"/>
          <w:b/>
          <w:bCs/>
          <w:color w:val="000000"/>
          <w:sz w:val="24"/>
          <w:szCs w:val="24"/>
        </w:rPr>
        <w:t xml:space="preserve"> P</w:t>
      </w:r>
      <w:r w:rsidR="00856184" w:rsidRPr="00DA06A9">
        <w:rPr>
          <w:rFonts w:ascii="Century Gothic" w:eastAsia="Times New Roman" w:hAnsi="Century Gothic" w:cs="Calibri"/>
          <w:b/>
          <w:bCs/>
          <w:color w:val="000000"/>
          <w:sz w:val="24"/>
          <w:szCs w:val="24"/>
        </w:rPr>
        <w:t>olicy</w:t>
      </w:r>
    </w:p>
    <w:p w14:paraId="3E552CD0" w14:textId="73CA37F0" w:rsidR="00FA251F" w:rsidRPr="00DA06A9" w:rsidRDefault="00FA251F" w:rsidP="00FA251F">
      <w:pPr>
        <w:spacing w:after="0" w:line="240" w:lineRule="auto"/>
        <w:rPr>
          <w:rFonts w:ascii="Noto Serif" w:eastAsia="Times New Roman" w:hAnsi="Noto Serif" w:cs="Noto Serif"/>
          <w:sz w:val="24"/>
          <w:szCs w:val="24"/>
        </w:rPr>
      </w:pPr>
      <w:r w:rsidRPr="00DA06A9">
        <w:rPr>
          <w:rFonts w:ascii="Noto Serif" w:eastAsia="Times New Roman" w:hAnsi="Noto Serif" w:cs="Noto Serif"/>
          <w:color w:val="000000"/>
          <w:sz w:val="24"/>
          <w:szCs w:val="24"/>
        </w:rPr>
        <w:t xml:space="preserve">No individual should be denied participation in CE programs offered by BOC Approved Providers </w:t>
      </w:r>
      <w:r w:rsidR="00F22AB6" w:rsidRPr="00DA06A9">
        <w:rPr>
          <w:rFonts w:ascii="Noto Serif" w:eastAsia="Times New Roman" w:hAnsi="Noto Serif" w:cs="Noto Serif"/>
          <w:color w:val="000000"/>
          <w:sz w:val="24"/>
          <w:szCs w:val="24"/>
        </w:rPr>
        <w:t xml:space="preserve">on the basis of </w:t>
      </w:r>
      <w:r w:rsidRPr="00DA06A9">
        <w:rPr>
          <w:rFonts w:ascii="Noto Serif" w:eastAsia="Times New Roman" w:hAnsi="Noto Serif" w:cs="Noto Serif"/>
          <w:color w:val="000000"/>
          <w:sz w:val="24"/>
          <w:szCs w:val="24"/>
        </w:rPr>
        <w:t xml:space="preserve">race, </w:t>
      </w:r>
      <w:r w:rsidR="00856184" w:rsidRPr="00DA06A9">
        <w:rPr>
          <w:rFonts w:ascii="Noto Serif" w:eastAsia="Times New Roman" w:hAnsi="Noto Serif" w:cs="Noto Serif"/>
          <w:color w:val="000000"/>
          <w:sz w:val="24"/>
          <w:szCs w:val="24"/>
        </w:rPr>
        <w:t xml:space="preserve">gender, </w:t>
      </w:r>
      <w:r w:rsidRPr="00DA06A9">
        <w:rPr>
          <w:rFonts w:ascii="Noto Serif" w:eastAsia="Times New Roman" w:hAnsi="Noto Serif" w:cs="Noto Serif"/>
          <w:color w:val="000000"/>
          <w:sz w:val="24"/>
          <w:szCs w:val="24"/>
        </w:rPr>
        <w:t xml:space="preserve">color, </w:t>
      </w:r>
      <w:r w:rsidR="00856184" w:rsidRPr="00DA06A9">
        <w:rPr>
          <w:rFonts w:ascii="Noto Serif" w:eastAsia="Times New Roman" w:hAnsi="Noto Serif" w:cs="Noto Serif"/>
          <w:color w:val="000000"/>
          <w:sz w:val="24"/>
          <w:szCs w:val="24"/>
        </w:rPr>
        <w:t>age, disability</w:t>
      </w:r>
      <w:r w:rsidRPr="00DA06A9">
        <w:rPr>
          <w:rFonts w:ascii="Noto Serif" w:eastAsia="Times New Roman" w:hAnsi="Noto Serif" w:cs="Noto Serif"/>
          <w:color w:val="000000"/>
          <w:sz w:val="24"/>
          <w:szCs w:val="24"/>
        </w:rPr>
        <w:t>, religion, sex</w:t>
      </w:r>
      <w:r w:rsidR="00856184" w:rsidRPr="00DA06A9">
        <w:rPr>
          <w:rFonts w:ascii="Noto Serif" w:eastAsia="Times New Roman" w:hAnsi="Noto Serif" w:cs="Noto Serif"/>
          <w:color w:val="000000"/>
          <w:sz w:val="24"/>
          <w:szCs w:val="24"/>
        </w:rPr>
        <w:t xml:space="preserve"> (including sexual harassment), pregnancy, national origin, marital status, veteran</w:t>
      </w:r>
      <w:r w:rsidRPr="00DA06A9">
        <w:rPr>
          <w:rFonts w:ascii="Noto Serif" w:eastAsia="Times New Roman" w:hAnsi="Noto Serif" w:cs="Noto Serif"/>
          <w:color w:val="000000"/>
          <w:sz w:val="24"/>
          <w:szCs w:val="24"/>
        </w:rPr>
        <w:t xml:space="preserve"> status, </w:t>
      </w:r>
      <w:r w:rsidR="00856184" w:rsidRPr="00DA06A9">
        <w:rPr>
          <w:rFonts w:ascii="Noto Serif" w:eastAsia="Times New Roman" w:hAnsi="Noto Serif" w:cs="Noto Serif"/>
          <w:color w:val="000000"/>
          <w:sz w:val="24"/>
          <w:szCs w:val="24"/>
        </w:rPr>
        <w:t xml:space="preserve">political affiliation, </w:t>
      </w:r>
      <w:r w:rsidRPr="00DA06A9">
        <w:rPr>
          <w:rFonts w:ascii="Noto Serif" w:eastAsia="Times New Roman" w:hAnsi="Noto Serif" w:cs="Noto Serif"/>
          <w:color w:val="000000"/>
          <w:sz w:val="24"/>
          <w:szCs w:val="24"/>
        </w:rPr>
        <w:t>sexual orientation</w:t>
      </w:r>
      <w:r w:rsidR="00856184" w:rsidRPr="00DA06A9">
        <w:rPr>
          <w:rFonts w:ascii="Noto Serif" w:eastAsia="Times New Roman" w:hAnsi="Noto Serif" w:cs="Noto Serif"/>
          <w:color w:val="000000"/>
          <w:sz w:val="24"/>
          <w:szCs w:val="24"/>
        </w:rPr>
        <w:t>, gender identity, gender expression, genetic information, creed or any other basis protected by applicable federal, state or local law, ordinance or regulation</w:t>
      </w:r>
      <w:r w:rsidRPr="00DA06A9">
        <w:rPr>
          <w:rFonts w:ascii="Noto Serif" w:eastAsia="Times New Roman" w:hAnsi="Noto Serif" w:cs="Noto Serif"/>
          <w:color w:val="000000"/>
          <w:sz w:val="24"/>
          <w:szCs w:val="24"/>
        </w:rPr>
        <w:t>.</w:t>
      </w:r>
    </w:p>
    <w:p w14:paraId="64A503CC" w14:textId="77777777" w:rsidR="00FA251F" w:rsidRPr="00DA06A9" w:rsidRDefault="00FA251F" w:rsidP="00FA251F">
      <w:pPr>
        <w:spacing w:after="0" w:line="240" w:lineRule="auto"/>
        <w:rPr>
          <w:rFonts w:ascii="Noto Serif" w:eastAsia="Times New Roman" w:hAnsi="Noto Serif" w:cs="Noto Serif"/>
          <w:sz w:val="24"/>
          <w:szCs w:val="24"/>
        </w:rPr>
      </w:pPr>
    </w:p>
    <w:p w14:paraId="298F99F4" w14:textId="7EA97174" w:rsidR="00FA251F" w:rsidRPr="00DA06A9" w:rsidRDefault="00FA251F" w:rsidP="00FA251F">
      <w:pPr>
        <w:spacing w:after="0" w:line="240" w:lineRule="auto"/>
        <w:rPr>
          <w:rFonts w:ascii="Noto Serif" w:eastAsia="Times New Roman" w:hAnsi="Noto Serif" w:cs="Noto Serif"/>
          <w:sz w:val="24"/>
          <w:szCs w:val="24"/>
        </w:rPr>
      </w:pPr>
      <w:r w:rsidRPr="00DA06A9">
        <w:rPr>
          <w:rFonts w:ascii="Noto Serif" w:eastAsia="Times New Roman" w:hAnsi="Noto Serif" w:cs="Noto Serif"/>
          <w:color w:val="000000"/>
          <w:sz w:val="24"/>
          <w:szCs w:val="24"/>
        </w:rPr>
        <w:t>The statement below is provided for inclusion in education program materials including, but not limited to</w:t>
      </w:r>
      <w:r w:rsidR="00F22AB6" w:rsidRPr="00DA06A9">
        <w:rPr>
          <w:rFonts w:ascii="Noto Serif" w:eastAsia="Times New Roman" w:hAnsi="Noto Serif" w:cs="Noto Serif"/>
          <w:color w:val="000000"/>
          <w:sz w:val="24"/>
          <w:szCs w:val="24"/>
        </w:rPr>
        <w:t xml:space="preserve"> </w:t>
      </w:r>
      <w:r w:rsidRPr="00DA06A9">
        <w:rPr>
          <w:rFonts w:ascii="Noto Serif" w:eastAsia="Times New Roman" w:hAnsi="Noto Serif" w:cs="Noto Serif"/>
          <w:color w:val="000000"/>
          <w:sz w:val="24"/>
          <w:szCs w:val="24"/>
        </w:rPr>
        <w:t>mailings, brochures and websites:</w:t>
      </w:r>
    </w:p>
    <w:p w14:paraId="0511EE40" w14:textId="77777777" w:rsidR="00FA251F" w:rsidRPr="00DA06A9" w:rsidRDefault="00FA251F" w:rsidP="00FA251F">
      <w:pPr>
        <w:spacing w:after="0" w:line="240" w:lineRule="auto"/>
        <w:rPr>
          <w:rFonts w:ascii="Noto Serif" w:eastAsia="Times New Roman" w:hAnsi="Noto Serif" w:cs="Noto Serif"/>
          <w:sz w:val="24"/>
          <w:szCs w:val="24"/>
        </w:rPr>
      </w:pPr>
    </w:p>
    <w:p w14:paraId="1BEDC11A" w14:textId="77777777" w:rsidR="00FA251F" w:rsidRPr="00DA06A9" w:rsidRDefault="00FA251F" w:rsidP="00FA251F">
      <w:pPr>
        <w:spacing w:after="0" w:line="240" w:lineRule="auto"/>
        <w:rPr>
          <w:rFonts w:ascii="Noto Serif" w:eastAsia="Times New Roman" w:hAnsi="Noto Serif" w:cs="Noto Serif"/>
          <w:sz w:val="24"/>
          <w:szCs w:val="24"/>
        </w:rPr>
      </w:pPr>
      <w:r w:rsidRPr="00DA06A9">
        <w:rPr>
          <w:rFonts w:ascii="Noto Serif" w:eastAsia="Times New Roman" w:hAnsi="Noto Serif" w:cs="Noto Serif"/>
          <w:b/>
          <w:bCs/>
          <w:i/>
          <w:iCs/>
          <w:color w:val="000000"/>
          <w:sz w:val="24"/>
          <w:szCs w:val="24"/>
        </w:rPr>
        <w:t>(Company Name)</w:t>
      </w:r>
      <w:r w:rsidRPr="00DA06A9">
        <w:rPr>
          <w:rFonts w:ascii="Noto Serif" w:eastAsia="Times New Roman" w:hAnsi="Noto Serif" w:cs="Noto Serif"/>
          <w:i/>
          <w:iCs/>
          <w:color w:val="000000"/>
          <w:sz w:val="24"/>
          <w:szCs w:val="24"/>
        </w:rPr>
        <w:t xml:space="preserve"> does not discriminate on the basis of race, color, national origin, religion, sex, disability, military status, sexual orientation or age. </w:t>
      </w:r>
      <w:r w:rsidRPr="00DA06A9">
        <w:rPr>
          <w:rFonts w:ascii="Noto Serif" w:eastAsia="Times New Roman" w:hAnsi="Noto Serif" w:cs="Noto Serif"/>
          <w:b/>
          <w:bCs/>
          <w:i/>
          <w:iCs/>
          <w:color w:val="000000"/>
          <w:sz w:val="24"/>
          <w:szCs w:val="24"/>
        </w:rPr>
        <w:t>(Company Name</w:t>
      </w:r>
      <w:r w:rsidRPr="00DA06A9">
        <w:rPr>
          <w:rFonts w:ascii="Noto Serif" w:eastAsia="Times New Roman" w:hAnsi="Noto Serif" w:cs="Noto Serif"/>
          <w:i/>
          <w:iCs/>
          <w:color w:val="000000"/>
          <w:sz w:val="24"/>
          <w:szCs w:val="24"/>
        </w:rPr>
        <w:t>) is committed to accessibility and non-discrimination in all aspects of its continuing education activities. Participants who have special needs are encouraged to contact program organizers so that all reasonable efforts to accommodate these needs can be made.</w:t>
      </w:r>
    </w:p>
    <w:p w14:paraId="0B15D099" w14:textId="77777777" w:rsidR="00FA251F" w:rsidRPr="00785E5B" w:rsidRDefault="00FA251F" w:rsidP="00FA251F">
      <w:pPr>
        <w:spacing w:after="0" w:line="240" w:lineRule="auto"/>
        <w:rPr>
          <w:rFonts w:ascii="Akzidenz Grotesk BE Regular" w:eastAsia="Times New Roman" w:hAnsi="Akzidenz Grotesk BE Regular" w:cs="Times New Roman"/>
          <w:sz w:val="24"/>
          <w:szCs w:val="24"/>
        </w:rPr>
      </w:pPr>
    </w:p>
    <w:p w14:paraId="5EF0425D" w14:textId="6DA4CE66" w:rsidR="00FA251F" w:rsidRPr="00DA06A9" w:rsidRDefault="00FA251F" w:rsidP="00FA251F">
      <w:pPr>
        <w:spacing w:after="0" w:line="240" w:lineRule="auto"/>
        <w:rPr>
          <w:rFonts w:ascii="Century Gothic" w:eastAsia="Times New Roman" w:hAnsi="Century Gothic" w:cs="Times New Roman"/>
          <w:sz w:val="24"/>
          <w:szCs w:val="24"/>
        </w:rPr>
      </w:pPr>
      <w:r w:rsidRPr="00DA06A9">
        <w:rPr>
          <w:rFonts w:ascii="Century Gothic" w:eastAsia="Times New Roman" w:hAnsi="Century Gothic" w:cs="Calibri"/>
          <w:b/>
          <w:bCs/>
          <w:color w:val="000000"/>
          <w:sz w:val="24"/>
          <w:szCs w:val="24"/>
        </w:rPr>
        <w:t>Copyright</w:t>
      </w:r>
      <w:r w:rsidR="00E70925">
        <w:rPr>
          <w:rFonts w:ascii="Century Gothic" w:eastAsia="Times New Roman" w:hAnsi="Century Gothic" w:cs="Calibri"/>
          <w:b/>
          <w:bCs/>
          <w:color w:val="000000"/>
          <w:sz w:val="24"/>
          <w:szCs w:val="24"/>
        </w:rPr>
        <w:t xml:space="preserve"> Policy</w:t>
      </w:r>
    </w:p>
    <w:p w14:paraId="422EE03F" w14:textId="77777777" w:rsidR="00FA251F" w:rsidRPr="00DA06A9" w:rsidRDefault="00FA251F" w:rsidP="00FA251F">
      <w:pPr>
        <w:spacing w:after="0" w:line="240" w:lineRule="auto"/>
        <w:rPr>
          <w:rFonts w:ascii="Noto Serif" w:eastAsia="Times New Roman" w:hAnsi="Noto Serif" w:cs="Noto Serif"/>
          <w:sz w:val="24"/>
          <w:szCs w:val="24"/>
        </w:rPr>
      </w:pPr>
      <w:r w:rsidRPr="00DA06A9">
        <w:rPr>
          <w:rFonts w:ascii="Noto Serif" w:eastAsia="Times New Roman" w:hAnsi="Noto Serif" w:cs="Noto Serif"/>
          <w:color w:val="000000"/>
          <w:sz w:val="24"/>
          <w:szCs w:val="24"/>
        </w:rPr>
        <w:t>The United States federal law takes violations of copyright infringement seriously. To avoid copyright infringement violations:</w:t>
      </w:r>
    </w:p>
    <w:p w14:paraId="1B5DB166" w14:textId="77777777" w:rsidR="00FA251F" w:rsidRPr="00DA06A9" w:rsidRDefault="00FA251F" w:rsidP="00FA251F">
      <w:pPr>
        <w:numPr>
          <w:ilvl w:val="0"/>
          <w:numId w:val="39"/>
        </w:numPr>
        <w:spacing w:after="0" w:line="240" w:lineRule="auto"/>
        <w:textAlignment w:val="baseline"/>
        <w:rPr>
          <w:rFonts w:ascii="Noto Serif" w:eastAsia="Times New Roman" w:hAnsi="Noto Serif" w:cs="Noto Serif"/>
          <w:color w:val="000000"/>
          <w:sz w:val="24"/>
          <w:szCs w:val="24"/>
        </w:rPr>
      </w:pPr>
      <w:r w:rsidRPr="00DA06A9">
        <w:rPr>
          <w:rFonts w:ascii="Noto Serif" w:eastAsia="Times New Roman" w:hAnsi="Noto Serif" w:cs="Noto Serif"/>
          <w:color w:val="000000"/>
          <w:sz w:val="24"/>
          <w:szCs w:val="24"/>
        </w:rPr>
        <w:t>Ensure copyright permission of materials used by program faculty are identified on all program materials. Audio-visual and program related materials should not be excluded.</w:t>
      </w:r>
    </w:p>
    <w:p w14:paraId="746B47BB" w14:textId="77777777" w:rsidR="00FA251F" w:rsidRPr="00DA06A9" w:rsidRDefault="00FA251F" w:rsidP="00FA251F">
      <w:pPr>
        <w:numPr>
          <w:ilvl w:val="0"/>
          <w:numId w:val="39"/>
        </w:numPr>
        <w:spacing w:after="0" w:line="240" w:lineRule="auto"/>
        <w:textAlignment w:val="baseline"/>
        <w:rPr>
          <w:rFonts w:ascii="Noto Serif" w:eastAsia="Times New Roman" w:hAnsi="Noto Serif" w:cs="Noto Serif"/>
          <w:color w:val="000000"/>
          <w:sz w:val="24"/>
          <w:szCs w:val="24"/>
        </w:rPr>
      </w:pPr>
      <w:r w:rsidRPr="00DA06A9">
        <w:rPr>
          <w:rFonts w:ascii="Noto Serif" w:eastAsia="Times New Roman" w:hAnsi="Noto Serif" w:cs="Noto Serif"/>
          <w:color w:val="000000"/>
          <w:sz w:val="24"/>
          <w:szCs w:val="24"/>
        </w:rPr>
        <w:t>Obtain information to identify the permission of use for protected program materials (e.g., program faculty release form, leasing agreement or other documentation). A sample program faculty release form is available on the BOC website.</w:t>
      </w:r>
    </w:p>
    <w:p w14:paraId="52ABBB2E" w14:textId="77777777" w:rsidR="00FA251F" w:rsidRPr="00DA06A9" w:rsidRDefault="00FA251F" w:rsidP="00FA251F">
      <w:pPr>
        <w:numPr>
          <w:ilvl w:val="0"/>
          <w:numId w:val="39"/>
        </w:numPr>
        <w:spacing w:after="0" w:line="240" w:lineRule="auto"/>
        <w:textAlignment w:val="baseline"/>
        <w:rPr>
          <w:rFonts w:ascii="Noto Serif" w:eastAsia="Times New Roman" w:hAnsi="Noto Serif" w:cs="Noto Serif"/>
          <w:color w:val="000000"/>
          <w:sz w:val="24"/>
          <w:szCs w:val="24"/>
        </w:rPr>
      </w:pPr>
      <w:r w:rsidRPr="00DA06A9">
        <w:rPr>
          <w:rFonts w:ascii="Noto Serif" w:eastAsia="Times New Roman" w:hAnsi="Noto Serif" w:cs="Noto Serif"/>
          <w:color w:val="000000"/>
          <w:sz w:val="24"/>
          <w:szCs w:val="24"/>
        </w:rPr>
        <w:t>Genericize programs during program development by using Instrument Assisted Soft Tissue Mobilization, kinesiology taping and other generic information that is not a protected technique, product name or intellectual property.</w:t>
      </w:r>
    </w:p>
    <w:p w14:paraId="2138C36E" w14:textId="77777777" w:rsidR="00FA251F" w:rsidRPr="00785E5B" w:rsidRDefault="00FA251F" w:rsidP="00FA251F">
      <w:pPr>
        <w:spacing w:after="0" w:line="240" w:lineRule="auto"/>
        <w:rPr>
          <w:rFonts w:ascii="Akzidenz Grotesk BE Regular" w:eastAsia="Times New Roman" w:hAnsi="Akzidenz Grotesk BE Regular" w:cs="Times New Roman"/>
          <w:sz w:val="24"/>
          <w:szCs w:val="24"/>
        </w:rPr>
      </w:pPr>
    </w:p>
    <w:p w14:paraId="19AE2622" w14:textId="460E71F9" w:rsidR="00FA251F" w:rsidRPr="00DA06A9" w:rsidRDefault="00FA251F" w:rsidP="00FA251F">
      <w:pPr>
        <w:spacing w:after="0" w:line="240" w:lineRule="auto"/>
        <w:rPr>
          <w:rFonts w:ascii="Century Gothic" w:eastAsia="Times New Roman" w:hAnsi="Century Gothic" w:cs="Times New Roman"/>
          <w:sz w:val="24"/>
          <w:szCs w:val="24"/>
        </w:rPr>
      </w:pPr>
      <w:r w:rsidRPr="00DA06A9">
        <w:rPr>
          <w:rFonts w:ascii="Century Gothic" w:eastAsia="Times New Roman" w:hAnsi="Century Gothic" w:cs="Calibri"/>
          <w:b/>
          <w:bCs/>
          <w:color w:val="000000"/>
          <w:sz w:val="24"/>
          <w:szCs w:val="24"/>
        </w:rPr>
        <w:t>Conflict of Interest</w:t>
      </w:r>
      <w:r w:rsidR="00E70925">
        <w:rPr>
          <w:rFonts w:ascii="Century Gothic" w:eastAsia="Times New Roman" w:hAnsi="Century Gothic" w:cs="Calibri"/>
          <w:b/>
          <w:bCs/>
          <w:color w:val="000000"/>
          <w:sz w:val="24"/>
          <w:szCs w:val="24"/>
        </w:rPr>
        <w:t xml:space="preserve"> Policy</w:t>
      </w:r>
    </w:p>
    <w:p w14:paraId="48F9B1A7" w14:textId="77777777" w:rsidR="00FA251F" w:rsidRPr="00DA06A9" w:rsidRDefault="00FA251F" w:rsidP="00FA251F">
      <w:pPr>
        <w:spacing w:after="0" w:line="240" w:lineRule="auto"/>
        <w:rPr>
          <w:rFonts w:ascii="Noto Serif" w:eastAsia="Times New Roman" w:hAnsi="Noto Serif" w:cs="Noto Serif"/>
          <w:sz w:val="24"/>
          <w:szCs w:val="24"/>
        </w:rPr>
      </w:pPr>
      <w:r w:rsidRPr="00DA06A9">
        <w:rPr>
          <w:rFonts w:ascii="Noto Serif" w:eastAsia="Times New Roman" w:hAnsi="Noto Serif" w:cs="Noto Serif"/>
          <w:color w:val="000000"/>
          <w:sz w:val="24"/>
          <w:szCs w:val="24"/>
        </w:rPr>
        <w:t xml:space="preserve">Conflict of interest is a situation in which social, professional or financial considerations have the potential to compromise or bias objectivity. An apparent </w:t>
      </w:r>
      <w:r w:rsidRPr="00DA06A9">
        <w:rPr>
          <w:rFonts w:ascii="Noto Serif" w:eastAsia="Times New Roman" w:hAnsi="Noto Serif" w:cs="Noto Serif"/>
          <w:color w:val="000000"/>
          <w:sz w:val="24"/>
          <w:szCs w:val="24"/>
        </w:rPr>
        <w:lastRenderedPageBreak/>
        <w:t>conflict of interest is one in which a reasonable person would think the provider’s objectivity is likely to be compromised. </w:t>
      </w:r>
    </w:p>
    <w:p w14:paraId="2E214290" w14:textId="77777777" w:rsidR="00FA251F" w:rsidRPr="00DA06A9" w:rsidRDefault="00FA251F" w:rsidP="00FA251F">
      <w:pPr>
        <w:spacing w:after="0" w:line="240" w:lineRule="auto"/>
        <w:rPr>
          <w:rFonts w:ascii="Noto Serif" w:eastAsia="Times New Roman" w:hAnsi="Noto Serif" w:cs="Noto Serif"/>
          <w:sz w:val="24"/>
          <w:szCs w:val="24"/>
        </w:rPr>
      </w:pPr>
    </w:p>
    <w:p w14:paraId="4D03618F" w14:textId="2DC9F3CD" w:rsidR="00FA251F" w:rsidRPr="00DA06A9" w:rsidRDefault="00FA251F" w:rsidP="00FA251F">
      <w:pPr>
        <w:spacing w:after="0" w:line="240" w:lineRule="auto"/>
        <w:rPr>
          <w:rFonts w:ascii="Noto Serif" w:eastAsia="Times New Roman" w:hAnsi="Noto Serif" w:cs="Noto Serif"/>
          <w:sz w:val="24"/>
          <w:szCs w:val="24"/>
        </w:rPr>
      </w:pPr>
      <w:r w:rsidRPr="00DA06A9">
        <w:rPr>
          <w:rFonts w:ascii="Noto Serif" w:eastAsia="Times New Roman" w:hAnsi="Noto Serif" w:cs="Noto Serif"/>
          <w:color w:val="000000"/>
          <w:sz w:val="24"/>
          <w:szCs w:val="24"/>
        </w:rPr>
        <w:t>Conflicts of interest include, but are not limited to, financial interests and nonofficial relationships that may impact personal benefit. It is important for participants at educational activities to be aware of any</w:t>
      </w:r>
      <w:r w:rsidR="00F22AB6" w:rsidRPr="00DA06A9">
        <w:rPr>
          <w:rFonts w:ascii="Noto Serif" w:eastAsia="Times New Roman" w:hAnsi="Noto Serif" w:cs="Noto Serif"/>
          <w:color w:val="000000"/>
          <w:sz w:val="24"/>
          <w:szCs w:val="24"/>
        </w:rPr>
        <w:t xml:space="preserve">, </w:t>
      </w:r>
      <w:r w:rsidRPr="00DA06A9">
        <w:rPr>
          <w:rFonts w:ascii="Noto Serif" w:eastAsia="Times New Roman" w:hAnsi="Noto Serif" w:cs="Noto Serif"/>
          <w:color w:val="000000"/>
          <w:sz w:val="24"/>
          <w:szCs w:val="24"/>
        </w:rPr>
        <w:t>and all conflicts.</w:t>
      </w:r>
    </w:p>
    <w:p w14:paraId="15C27D39" w14:textId="77777777" w:rsidR="00FA251F" w:rsidRPr="00DA06A9" w:rsidRDefault="00FA251F" w:rsidP="00FA251F">
      <w:pPr>
        <w:spacing w:after="0" w:line="240" w:lineRule="auto"/>
        <w:rPr>
          <w:rFonts w:ascii="Noto Serif" w:eastAsia="Times New Roman" w:hAnsi="Noto Serif" w:cs="Noto Serif"/>
          <w:sz w:val="24"/>
          <w:szCs w:val="24"/>
        </w:rPr>
      </w:pPr>
    </w:p>
    <w:p w14:paraId="614AB81D" w14:textId="77777777" w:rsidR="00FA251F" w:rsidRPr="00DA06A9" w:rsidRDefault="00FA251F" w:rsidP="00FA251F">
      <w:pPr>
        <w:spacing w:after="0" w:line="240" w:lineRule="auto"/>
        <w:rPr>
          <w:rFonts w:ascii="Noto Serif" w:eastAsia="Times New Roman" w:hAnsi="Noto Serif" w:cs="Noto Serif"/>
          <w:sz w:val="24"/>
          <w:szCs w:val="24"/>
        </w:rPr>
      </w:pPr>
      <w:r w:rsidRPr="00DA06A9">
        <w:rPr>
          <w:rFonts w:ascii="Noto Serif" w:eastAsia="Times New Roman" w:hAnsi="Noto Serif" w:cs="Noto Serif"/>
          <w:color w:val="000000"/>
          <w:sz w:val="24"/>
          <w:szCs w:val="24"/>
        </w:rPr>
        <w:t>BOC Approved Providers shall make public potential and actual conflicts of interest and financial gain associated with any programs, providers, program faculty or sponsors. In addition, BOC Approved Providers shall follow an effective and responsible conflict of interest policy that clearly specifies:</w:t>
      </w:r>
    </w:p>
    <w:p w14:paraId="0A862A86" w14:textId="77777777" w:rsidR="00FA251F" w:rsidRPr="00DA06A9" w:rsidRDefault="00FA251F" w:rsidP="00FA251F">
      <w:pPr>
        <w:numPr>
          <w:ilvl w:val="0"/>
          <w:numId w:val="40"/>
        </w:numPr>
        <w:spacing w:after="0" w:line="240" w:lineRule="auto"/>
        <w:textAlignment w:val="baseline"/>
        <w:rPr>
          <w:rFonts w:ascii="Noto Serif" w:eastAsia="Times New Roman" w:hAnsi="Noto Serif" w:cs="Noto Serif"/>
          <w:color w:val="000000"/>
          <w:sz w:val="24"/>
          <w:szCs w:val="24"/>
        </w:rPr>
      </w:pPr>
      <w:r w:rsidRPr="00DA06A9">
        <w:rPr>
          <w:rFonts w:ascii="Noto Serif" w:eastAsia="Times New Roman" w:hAnsi="Noto Serif" w:cs="Noto Serif"/>
          <w:color w:val="000000"/>
          <w:sz w:val="24"/>
          <w:szCs w:val="24"/>
        </w:rPr>
        <w:t>Acceptable relationships and activities.</w:t>
      </w:r>
    </w:p>
    <w:p w14:paraId="5819FF11" w14:textId="77777777" w:rsidR="00FA251F" w:rsidRPr="00DA06A9" w:rsidRDefault="00FA251F" w:rsidP="00FA251F">
      <w:pPr>
        <w:numPr>
          <w:ilvl w:val="0"/>
          <w:numId w:val="40"/>
        </w:numPr>
        <w:spacing w:after="0" w:line="240" w:lineRule="auto"/>
        <w:textAlignment w:val="baseline"/>
        <w:rPr>
          <w:rFonts w:ascii="Noto Serif" w:eastAsia="Times New Roman" w:hAnsi="Noto Serif" w:cs="Noto Serif"/>
          <w:color w:val="000000"/>
          <w:sz w:val="24"/>
          <w:szCs w:val="24"/>
        </w:rPr>
      </w:pPr>
      <w:r w:rsidRPr="00DA06A9">
        <w:rPr>
          <w:rFonts w:ascii="Noto Serif" w:eastAsia="Times New Roman" w:hAnsi="Noto Serif" w:cs="Noto Serif"/>
          <w:color w:val="000000"/>
          <w:sz w:val="24"/>
          <w:szCs w:val="24"/>
        </w:rPr>
        <w:t>Prohibited relationships and activities.</w:t>
      </w:r>
    </w:p>
    <w:p w14:paraId="785B0557" w14:textId="77777777" w:rsidR="00FA251F" w:rsidRPr="00DA06A9" w:rsidRDefault="00FA251F" w:rsidP="00FA251F">
      <w:pPr>
        <w:numPr>
          <w:ilvl w:val="0"/>
          <w:numId w:val="40"/>
        </w:numPr>
        <w:spacing w:after="0" w:line="240" w:lineRule="auto"/>
        <w:textAlignment w:val="baseline"/>
        <w:rPr>
          <w:rFonts w:ascii="Noto Serif" w:eastAsia="Times New Roman" w:hAnsi="Noto Serif" w:cs="Noto Serif"/>
          <w:color w:val="000000"/>
          <w:sz w:val="24"/>
          <w:szCs w:val="24"/>
        </w:rPr>
      </w:pPr>
      <w:r w:rsidRPr="00DA06A9">
        <w:rPr>
          <w:rFonts w:ascii="Noto Serif" w:eastAsia="Times New Roman" w:hAnsi="Noto Serif" w:cs="Noto Serif"/>
          <w:color w:val="000000"/>
          <w:sz w:val="24"/>
          <w:szCs w:val="24"/>
        </w:rPr>
        <w:t>Clear guidelines on how to make certain all such</w:t>
      </w:r>
    </w:p>
    <w:p w14:paraId="56E8D676" w14:textId="77777777" w:rsidR="00FA251F" w:rsidRPr="00DA06A9" w:rsidRDefault="00FA251F" w:rsidP="00FA251F">
      <w:pPr>
        <w:spacing w:after="0" w:line="240" w:lineRule="auto"/>
        <w:ind w:firstLine="720"/>
        <w:rPr>
          <w:rFonts w:ascii="Noto Serif" w:eastAsia="Times New Roman" w:hAnsi="Noto Serif" w:cs="Noto Serif"/>
          <w:sz w:val="24"/>
          <w:szCs w:val="24"/>
        </w:rPr>
      </w:pPr>
      <w:r w:rsidRPr="00DA06A9">
        <w:rPr>
          <w:rFonts w:ascii="Noto Serif" w:eastAsia="Times New Roman" w:hAnsi="Noto Serif" w:cs="Noto Serif"/>
          <w:color w:val="000000"/>
          <w:sz w:val="24"/>
          <w:szCs w:val="24"/>
        </w:rPr>
        <w:t>arrangements are transparent.</w:t>
      </w:r>
    </w:p>
    <w:p w14:paraId="3D785073" w14:textId="77777777" w:rsidR="00FA251F" w:rsidRPr="00DA06A9" w:rsidRDefault="00FA251F" w:rsidP="00FA251F">
      <w:pPr>
        <w:numPr>
          <w:ilvl w:val="0"/>
          <w:numId w:val="41"/>
        </w:numPr>
        <w:spacing w:after="0" w:line="240" w:lineRule="auto"/>
        <w:textAlignment w:val="baseline"/>
        <w:rPr>
          <w:rFonts w:ascii="Noto Serif" w:eastAsia="Times New Roman" w:hAnsi="Noto Serif" w:cs="Noto Serif"/>
          <w:color w:val="000000"/>
          <w:sz w:val="24"/>
          <w:szCs w:val="24"/>
        </w:rPr>
      </w:pPr>
      <w:r w:rsidRPr="00DA06A9">
        <w:rPr>
          <w:rFonts w:ascii="Noto Serif" w:eastAsia="Times New Roman" w:hAnsi="Noto Serif" w:cs="Noto Serif"/>
          <w:color w:val="000000"/>
          <w:sz w:val="24"/>
          <w:szCs w:val="24"/>
        </w:rPr>
        <w:t>A transparent system where potential and actual</w:t>
      </w:r>
    </w:p>
    <w:p w14:paraId="4BB30E9D" w14:textId="77777777" w:rsidR="00FA251F" w:rsidRPr="00DA06A9" w:rsidRDefault="00FA251F" w:rsidP="00FA251F">
      <w:pPr>
        <w:spacing w:after="0" w:line="240" w:lineRule="auto"/>
        <w:ind w:firstLine="720"/>
        <w:rPr>
          <w:rFonts w:ascii="Noto Serif" w:eastAsia="Times New Roman" w:hAnsi="Noto Serif" w:cs="Noto Serif"/>
          <w:sz w:val="24"/>
          <w:szCs w:val="24"/>
        </w:rPr>
      </w:pPr>
      <w:r w:rsidRPr="00DA06A9">
        <w:rPr>
          <w:rFonts w:ascii="Noto Serif" w:eastAsia="Times New Roman" w:hAnsi="Noto Serif" w:cs="Noto Serif"/>
          <w:color w:val="000000"/>
          <w:sz w:val="24"/>
          <w:szCs w:val="24"/>
        </w:rPr>
        <w:t>conflicts of interest for providers, program faculty</w:t>
      </w:r>
    </w:p>
    <w:p w14:paraId="2F4477C6" w14:textId="77777777" w:rsidR="00FA251F" w:rsidRPr="00DA06A9" w:rsidRDefault="00FA251F" w:rsidP="00FA251F">
      <w:pPr>
        <w:spacing w:after="0" w:line="240" w:lineRule="auto"/>
        <w:ind w:firstLine="720"/>
        <w:rPr>
          <w:rFonts w:ascii="Noto Serif" w:eastAsia="Times New Roman" w:hAnsi="Noto Serif" w:cs="Noto Serif"/>
          <w:sz w:val="24"/>
          <w:szCs w:val="24"/>
        </w:rPr>
      </w:pPr>
      <w:r w:rsidRPr="00DA06A9">
        <w:rPr>
          <w:rFonts w:ascii="Noto Serif" w:eastAsia="Times New Roman" w:hAnsi="Noto Serif" w:cs="Noto Serif"/>
          <w:color w:val="000000"/>
          <w:sz w:val="24"/>
          <w:szCs w:val="24"/>
        </w:rPr>
        <w:t>or sponsors are declared.</w:t>
      </w:r>
    </w:p>
    <w:p w14:paraId="70B3BF7E" w14:textId="77777777" w:rsidR="00FA251F" w:rsidRPr="00DA06A9" w:rsidRDefault="00FA251F" w:rsidP="00FA251F">
      <w:pPr>
        <w:spacing w:after="0" w:line="240" w:lineRule="auto"/>
        <w:rPr>
          <w:rFonts w:ascii="Noto Serif" w:eastAsia="Times New Roman" w:hAnsi="Noto Serif" w:cs="Noto Serif"/>
          <w:sz w:val="24"/>
          <w:szCs w:val="24"/>
        </w:rPr>
      </w:pPr>
    </w:p>
    <w:p w14:paraId="3AC63970" w14:textId="77777777" w:rsidR="00FA251F" w:rsidRPr="00DA06A9" w:rsidRDefault="00FA251F" w:rsidP="00FA251F">
      <w:pPr>
        <w:spacing w:after="0" w:line="240" w:lineRule="auto"/>
        <w:rPr>
          <w:rFonts w:ascii="Noto Serif" w:eastAsia="Times New Roman" w:hAnsi="Noto Serif" w:cs="Noto Serif"/>
          <w:sz w:val="24"/>
          <w:szCs w:val="24"/>
        </w:rPr>
      </w:pPr>
      <w:r w:rsidRPr="00DA06A9">
        <w:rPr>
          <w:rFonts w:ascii="Noto Serif" w:eastAsia="Times New Roman" w:hAnsi="Noto Serif" w:cs="Noto Serif"/>
          <w:color w:val="000000"/>
          <w:sz w:val="24"/>
          <w:szCs w:val="24"/>
        </w:rPr>
        <w:t>Examples of conflict of interest include:</w:t>
      </w:r>
    </w:p>
    <w:p w14:paraId="6196507B" w14:textId="77777777" w:rsidR="00FA251F" w:rsidRPr="00DA06A9" w:rsidRDefault="00FA251F" w:rsidP="00FA251F">
      <w:pPr>
        <w:numPr>
          <w:ilvl w:val="0"/>
          <w:numId w:val="42"/>
        </w:numPr>
        <w:spacing w:after="0" w:line="240" w:lineRule="auto"/>
        <w:textAlignment w:val="baseline"/>
        <w:rPr>
          <w:rFonts w:ascii="Noto Serif" w:eastAsia="Times New Roman" w:hAnsi="Noto Serif" w:cs="Noto Serif"/>
          <w:color w:val="000000"/>
          <w:sz w:val="24"/>
          <w:szCs w:val="24"/>
        </w:rPr>
      </w:pPr>
      <w:r w:rsidRPr="00DA06A9">
        <w:rPr>
          <w:rFonts w:ascii="Noto Serif" w:eastAsia="Times New Roman" w:hAnsi="Noto Serif" w:cs="Noto Serif"/>
          <w:color w:val="000000"/>
          <w:sz w:val="24"/>
          <w:szCs w:val="24"/>
        </w:rPr>
        <w:t>Health care providers and medical organizations pursuing private financial gain which may compromise their professional responsibilities.</w:t>
      </w:r>
    </w:p>
    <w:p w14:paraId="5E9A73DF" w14:textId="77777777" w:rsidR="00FA251F" w:rsidRPr="00DA06A9" w:rsidRDefault="00FA251F" w:rsidP="00FA251F">
      <w:pPr>
        <w:numPr>
          <w:ilvl w:val="0"/>
          <w:numId w:val="42"/>
        </w:numPr>
        <w:spacing w:after="0" w:line="240" w:lineRule="auto"/>
        <w:textAlignment w:val="baseline"/>
        <w:rPr>
          <w:rFonts w:ascii="Noto Serif" w:eastAsia="Times New Roman" w:hAnsi="Noto Serif" w:cs="Noto Serif"/>
          <w:color w:val="000000"/>
          <w:sz w:val="24"/>
          <w:szCs w:val="24"/>
        </w:rPr>
      </w:pPr>
      <w:r w:rsidRPr="00DA06A9">
        <w:rPr>
          <w:rFonts w:ascii="Noto Serif" w:eastAsia="Times New Roman" w:hAnsi="Noto Serif" w:cs="Noto Serif"/>
          <w:color w:val="000000"/>
          <w:sz w:val="24"/>
          <w:szCs w:val="24"/>
        </w:rPr>
        <w:t>A person is paid to promote uses of products.</w:t>
      </w:r>
    </w:p>
    <w:p w14:paraId="665C0F25" w14:textId="77777777" w:rsidR="00FA251F" w:rsidRPr="00DA06A9" w:rsidRDefault="00FA251F" w:rsidP="00FA251F">
      <w:pPr>
        <w:numPr>
          <w:ilvl w:val="0"/>
          <w:numId w:val="42"/>
        </w:numPr>
        <w:spacing w:after="0" w:line="240" w:lineRule="auto"/>
        <w:textAlignment w:val="baseline"/>
        <w:rPr>
          <w:rFonts w:ascii="Noto Serif" w:eastAsia="Times New Roman" w:hAnsi="Noto Serif" w:cs="Noto Serif"/>
          <w:color w:val="000000"/>
          <w:sz w:val="24"/>
          <w:szCs w:val="24"/>
        </w:rPr>
      </w:pPr>
      <w:r w:rsidRPr="00DA06A9">
        <w:rPr>
          <w:rFonts w:ascii="Noto Serif" w:eastAsia="Times New Roman" w:hAnsi="Noto Serif" w:cs="Noto Serif"/>
          <w:color w:val="000000"/>
          <w:sz w:val="24"/>
          <w:szCs w:val="24"/>
        </w:rPr>
        <w:t>A researcher or family member participating in research owned by a business in which the faculty member holds a financial interest.</w:t>
      </w:r>
    </w:p>
    <w:p w14:paraId="74BDF62D" w14:textId="77777777" w:rsidR="00FA251F" w:rsidRPr="00DA06A9" w:rsidRDefault="00FA251F" w:rsidP="00FA251F">
      <w:pPr>
        <w:numPr>
          <w:ilvl w:val="0"/>
          <w:numId w:val="42"/>
        </w:numPr>
        <w:spacing w:after="0" w:line="240" w:lineRule="auto"/>
        <w:textAlignment w:val="baseline"/>
        <w:rPr>
          <w:rFonts w:ascii="Noto Serif" w:eastAsia="Times New Roman" w:hAnsi="Noto Serif" w:cs="Noto Serif"/>
          <w:color w:val="000000"/>
          <w:sz w:val="24"/>
          <w:szCs w:val="24"/>
        </w:rPr>
      </w:pPr>
      <w:r w:rsidRPr="00DA06A9">
        <w:rPr>
          <w:rFonts w:ascii="Noto Serif" w:eastAsia="Times New Roman" w:hAnsi="Noto Serif" w:cs="Noto Serif"/>
          <w:color w:val="000000"/>
          <w:sz w:val="24"/>
          <w:szCs w:val="24"/>
        </w:rPr>
        <w:t>A researcher participating in research developed by that researcher.</w:t>
      </w:r>
    </w:p>
    <w:p w14:paraId="369A003A" w14:textId="77777777" w:rsidR="00FA251F" w:rsidRPr="00DA06A9" w:rsidRDefault="00FA251F" w:rsidP="00FA251F">
      <w:pPr>
        <w:numPr>
          <w:ilvl w:val="0"/>
          <w:numId w:val="42"/>
        </w:numPr>
        <w:spacing w:after="0" w:line="240" w:lineRule="auto"/>
        <w:textAlignment w:val="baseline"/>
        <w:rPr>
          <w:rFonts w:ascii="Noto Serif" w:eastAsia="Times New Roman" w:hAnsi="Noto Serif" w:cs="Noto Serif"/>
          <w:color w:val="000000"/>
          <w:sz w:val="24"/>
          <w:szCs w:val="24"/>
        </w:rPr>
      </w:pPr>
      <w:r w:rsidRPr="00DA06A9">
        <w:rPr>
          <w:rFonts w:ascii="Noto Serif" w:eastAsia="Times New Roman" w:hAnsi="Noto Serif" w:cs="Noto Serif"/>
          <w:color w:val="000000"/>
          <w:sz w:val="24"/>
          <w:szCs w:val="24"/>
        </w:rPr>
        <w:t>A researcher who wishes to recruit a subject who is also a student, an employee, a colleague or a subordinate of the researcher.</w:t>
      </w:r>
    </w:p>
    <w:p w14:paraId="4D078FDB" w14:textId="77777777" w:rsidR="00FA251F" w:rsidRPr="00DA06A9" w:rsidRDefault="00FA251F" w:rsidP="00FA251F">
      <w:pPr>
        <w:numPr>
          <w:ilvl w:val="0"/>
          <w:numId w:val="42"/>
        </w:numPr>
        <w:spacing w:after="0" w:line="240" w:lineRule="auto"/>
        <w:textAlignment w:val="baseline"/>
        <w:rPr>
          <w:rFonts w:ascii="Noto Serif" w:eastAsia="Times New Roman" w:hAnsi="Noto Serif" w:cs="Noto Serif"/>
          <w:color w:val="000000"/>
          <w:sz w:val="24"/>
          <w:szCs w:val="24"/>
        </w:rPr>
      </w:pPr>
      <w:r w:rsidRPr="00DA06A9">
        <w:rPr>
          <w:rFonts w:ascii="Noto Serif" w:eastAsia="Times New Roman" w:hAnsi="Noto Serif" w:cs="Noto Serif"/>
          <w:color w:val="000000"/>
          <w:sz w:val="24"/>
          <w:szCs w:val="24"/>
        </w:rPr>
        <w:t>A sponsor who pays program faculty to promote their products.</w:t>
      </w:r>
    </w:p>
    <w:p w14:paraId="362695C8" w14:textId="77777777" w:rsidR="00FA251F" w:rsidRPr="00DA06A9" w:rsidRDefault="00FA251F" w:rsidP="00FA251F">
      <w:pPr>
        <w:spacing w:after="0" w:line="240" w:lineRule="auto"/>
        <w:rPr>
          <w:rFonts w:ascii="Noto Serif" w:eastAsia="Times New Roman" w:hAnsi="Noto Serif" w:cs="Noto Serif"/>
          <w:sz w:val="24"/>
          <w:szCs w:val="24"/>
        </w:rPr>
      </w:pPr>
    </w:p>
    <w:p w14:paraId="014CEF9A" w14:textId="1871AC78" w:rsidR="00FA251F" w:rsidRPr="00DA06A9" w:rsidRDefault="00856184" w:rsidP="00FA251F">
      <w:pPr>
        <w:spacing w:after="0" w:line="240" w:lineRule="auto"/>
        <w:rPr>
          <w:rFonts w:ascii="Century Gothic" w:eastAsia="Times New Roman" w:hAnsi="Century Gothic" w:cs="Times New Roman"/>
          <w:sz w:val="24"/>
          <w:szCs w:val="24"/>
        </w:rPr>
      </w:pPr>
      <w:r w:rsidRPr="00DA06A9">
        <w:rPr>
          <w:rFonts w:ascii="Century Gothic" w:eastAsia="Times New Roman" w:hAnsi="Century Gothic" w:cs="Calibri"/>
          <w:b/>
          <w:bCs/>
          <w:color w:val="000000"/>
          <w:sz w:val="24"/>
          <w:szCs w:val="24"/>
        </w:rPr>
        <w:t>Fee/</w:t>
      </w:r>
      <w:r w:rsidR="00FA251F" w:rsidRPr="00DA06A9">
        <w:rPr>
          <w:rFonts w:ascii="Century Gothic" w:eastAsia="Times New Roman" w:hAnsi="Century Gothic" w:cs="Calibri"/>
          <w:b/>
          <w:bCs/>
          <w:color w:val="000000"/>
          <w:sz w:val="24"/>
          <w:szCs w:val="24"/>
        </w:rPr>
        <w:t>Cancellation/Refund Policy</w:t>
      </w:r>
    </w:p>
    <w:p w14:paraId="7F90A788" w14:textId="77777777" w:rsidR="00FA251F" w:rsidRPr="00DA06A9" w:rsidRDefault="00FA251F" w:rsidP="00FA251F">
      <w:pPr>
        <w:spacing w:after="0" w:line="240" w:lineRule="auto"/>
        <w:rPr>
          <w:rFonts w:ascii="Noto Serif" w:eastAsia="Times New Roman" w:hAnsi="Noto Serif" w:cs="Noto Serif"/>
          <w:sz w:val="24"/>
          <w:szCs w:val="24"/>
        </w:rPr>
      </w:pPr>
      <w:r w:rsidRPr="00DA06A9">
        <w:rPr>
          <w:rFonts w:ascii="Noto Serif" w:eastAsia="Times New Roman" w:hAnsi="Noto Serif" w:cs="Noto Serif"/>
          <w:color w:val="000000"/>
          <w:sz w:val="24"/>
          <w:szCs w:val="24"/>
        </w:rPr>
        <w:t>Programs that require a registration fee must also include a cancellation/refund policy. The BOC does not regulate the content of the cancellation policy; however, the policy shall be clearly indicated to potential participants on promotional and registration materials. Programs that are free of charge should be identified as such. Free programs are not required to supply a cancellation/refund policy.</w:t>
      </w:r>
    </w:p>
    <w:p w14:paraId="6B77FC46" w14:textId="77777777" w:rsidR="00FA251F" w:rsidRPr="00785E5B" w:rsidRDefault="00FA251F" w:rsidP="00FA251F">
      <w:pPr>
        <w:spacing w:after="0" w:line="240" w:lineRule="auto"/>
        <w:rPr>
          <w:rFonts w:ascii="Akzidenz Grotesk BE Regular" w:eastAsia="Times New Roman" w:hAnsi="Akzidenz Grotesk BE Regular" w:cs="Times New Roman"/>
          <w:sz w:val="24"/>
          <w:szCs w:val="24"/>
        </w:rPr>
      </w:pPr>
    </w:p>
    <w:p w14:paraId="7515F626" w14:textId="05562B49" w:rsidR="00FA251F" w:rsidRPr="00DA06A9" w:rsidRDefault="00FA251F" w:rsidP="00FA251F">
      <w:pPr>
        <w:spacing w:after="0" w:line="240" w:lineRule="auto"/>
        <w:rPr>
          <w:rFonts w:ascii="Century Gothic" w:eastAsia="Times New Roman" w:hAnsi="Century Gothic" w:cs="Times New Roman"/>
          <w:sz w:val="24"/>
          <w:szCs w:val="24"/>
        </w:rPr>
      </w:pPr>
      <w:r w:rsidRPr="00DA06A9">
        <w:rPr>
          <w:rFonts w:ascii="Century Gothic" w:eastAsia="Times New Roman" w:hAnsi="Century Gothic" w:cs="Calibri"/>
          <w:b/>
          <w:bCs/>
          <w:color w:val="000000"/>
          <w:sz w:val="24"/>
          <w:szCs w:val="24"/>
        </w:rPr>
        <w:t>Joint Providership</w:t>
      </w:r>
      <w:r w:rsidR="00E70925">
        <w:rPr>
          <w:rFonts w:ascii="Century Gothic" w:eastAsia="Times New Roman" w:hAnsi="Century Gothic" w:cs="Calibri"/>
          <w:b/>
          <w:bCs/>
          <w:color w:val="000000"/>
          <w:sz w:val="24"/>
          <w:szCs w:val="24"/>
        </w:rPr>
        <w:t xml:space="preserve"> Policy</w:t>
      </w:r>
    </w:p>
    <w:p w14:paraId="6690FF39" w14:textId="3D553784" w:rsidR="00FA251F" w:rsidRPr="00DA06A9" w:rsidRDefault="00FA251F" w:rsidP="00FA251F">
      <w:pPr>
        <w:spacing w:after="0" w:line="240" w:lineRule="auto"/>
        <w:rPr>
          <w:rFonts w:ascii="Noto Serif" w:eastAsia="Times New Roman" w:hAnsi="Noto Serif" w:cs="Noto Serif"/>
          <w:color w:val="000000"/>
          <w:sz w:val="24"/>
          <w:szCs w:val="24"/>
        </w:rPr>
      </w:pPr>
      <w:r w:rsidRPr="00DA06A9">
        <w:rPr>
          <w:rFonts w:ascii="Noto Serif" w:eastAsia="Times New Roman" w:hAnsi="Noto Serif" w:cs="Noto Serif"/>
          <w:color w:val="000000"/>
          <w:sz w:val="24"/>
          <w:szCs w:val="24"/>
        </w:rPr>
        <w:t xml:space="preserve">Joint sponsorship occurs when at least one approved and one non-approved entity collaborate to offer a CE program. BOC Approved Providers planning and presenting activities with another party are engaging in “joint sponsorship.” A </w:t>
      </w:r>
      <w:r w:rsidRPr="00DA06A9">
        <w:rPr>
          <w:rFonts w:ascii="Noto Serif" w:eastAsia="Times New Roman" w:hAnsi="Noto Serif" w:cs="Noto Serif"/>
          <w:color w:val="000000"/>
          <w:sz w:val="24"/>
          <w:szCs w:val="24"/>
        </w:rPr>
        <w:lastRenderedPageBreak/>
        <w:t>documented agreement that clearly outlines which party is responsible for various tasks to offer a compliant program is needed.</w:t>
      </w:r>
    </w:p>
    <w:p w14:paraId="093F9D18" w14:textId="77777777" w:rsidR="00785E5B" w:rsidRPr="00DA06A9" w:rsidRDefault="00785E5B" w:rsidP="00FA251F">
      <w:pPr>
        <w:spacing w:after="0" w:line="240" w:lineRule="auto"/>
        <w:rPr>
          <w:rFonts w:ascii="Noto Serif" w:eastAsia="Times New Roman" w:hAnsi="Noto Serif" w:cs="Noto Serif"/>
          <w:sz w:val="24"/>
          <w:szCs w:val="24"/>
        </w:rPr>
      </w:pPr>
    </w:p>
    <w:p w14:paraId="639C0B71" w14:textId="77777777" w:rsidR="00FA251F" w:rsidRPr="00DA06A9" w:rsidRDefault="00FA251F" w:rsidP="00FA251F">
      <w:pPr>
        <w:spacing w:after="0" w:line="240" w:lineRule="auto"/>
        <w:rPr>
          <w:rFonts w:ascii="Noto Serif" w:eastAsia="Times New Roman" w:hAnsi="Noto Serif" w:cs="Noto Serif"/>
          <w:sz w:val="24"/>
          <w:szCs w:val="24"/>
        </w:rPr>
      </w:pPr>
      <w:r w:rsidRPr="00DA06A9">
        <w:rPr>
          <w:rFonts w:ascii="Noto Serif" w:eastAsia="Times New Roman" w:hAnsi="Noto Serif" w:cs="Noto Serif"/>
          <w:color w:val="000000"/>
          <w:sz w:val="24"/>
          <w:szCs w:val="24"/>
        </w:rPr>
        <w:t>The BOC Approved Provider must take responsibility for a CE activity when it is presented in cooperation with another organization. </w:t>
      </w:r>
    </w:p>
    <w:p w14:paraId="746FD0CE" w14:textId="77777777" w:rsidR="00FA251F" w:rsidRPr="00DA06A9" w:rsidRDefault="00FA251F" w:rsidP="00FA251F">
      <w:pPr>
        <w:spacing w:after="0" w:line="240" w:lineRule="auto"/>
        <w:rPr>
          <w:rFonts w:ascii="Noto Serif" w:eastAsia="Times New Roman" w:hAnsi="Noto Serif" w:cs="Noto Serif"/>
          <w:sz w:val="24"/>
          <w:szCs w:val="24"/>
        </w:rPr>
      </w:pPr>
    </w:p>
    <w:p w14:paraId="00AA581D" w14:textId="77777777" w:rsidR="00FA251F" w:rsidRPr="00DA06A9" w:rsidRDefault="00FA251F" w:rsidP="00FA251F">
      <w:pPr>
        <w:spacing w:after="0" w:line="240" w:lineRule="auto"/>
        <w:rPr>
          <w:rFonts w:ascii="Noto Serif" w:eastAsia="Times New Roman" w:hAnsi="Noto Serif" w:cs="Noto Serif"/>
          <w:sz w:val="24"/>
          <w:szCs w:val="24"/>
        </w:rPr>
      </w:pPr>
      <w:r w:rsidRPr="00DA06A9">
        <w:rPr>
          <w:rFonts w:ascii="Noto Serif" w:eastAsia="Times New Roman" w:hAnsi="Noto Serif" w:cs="Noto Serif"/>
          <w:color w:val="000000"/>
          <w:sz w:val="24"/>
          <w:szCs w:val="24"/>
        </w:rPr>
        <w:t>Use the following statement to identify your program as a BOC Approved Provider Program:</w:t>
      </w:r>
    </w:p>
    <w:p w14:paraId="22030BF5" w14:textId="77777777" w:rsidR="00FA251F" w:rsidRPr="00DA06A9" w:rsidRDefault="00FA251F" w:rsidP="00FA251F">
      <w:pPr>
        <w:spacing w:after="0" w:line="240" w:lineRule="auto"/>
        <w:rPr>
          <w:rFonts w:ascii="Noto Serif" w:eastAsia="Times New Roman" w:hAnsi="Noto Serif" w:cs="Noto Serif"/>
          <w:sz w:val="24"/>
          <w:szCs w:val="24"/>
        </w:rPr>
      </w:pPr>
    </w:p>
    <w:p w14:paraId="171DAFEC" w14:textId="78506AEF" w:rsidR="00020A6D" w:rsidRPr="00DA06A9" w:rsidRDefault="00FA251F" w:rsidP="00785E5B">
      <w:pPr>
        <w:spacing w:after="0" w:line="240" w:lineRule="auto"/>
        <w:rPr>
          <w:rFonts w:ascii="Noto Serif" w:eastAsia="Times New Roman" w:hAnsi="Noto Serif" w:cs="Noto Serif"/>
          <w:i/>
          <w:iCs/>
          <w:color w:val="000000"/>
          <w:sz w:val="24"/>
          <w:szCs w:val="24"/>
        </w:rPr>
      </w:pPr>
      <w:r w:rsidRPr="00DA06A9">
        <w:rPr>
          <w:rFonts w:ascii="Noto Serif" w:eastAsia="Times New Roman" w:hAnsi="Noto Serif" w:cs="Noto Serif"/>
          <w:i/>
          <w:iCs/>
          <w:color w:val="000000"/>
          <w:sz w:val="24"/>
          <w:szCs w:val="24"/>
        </w:rPr>
        <w:t xml:space="preserve">This program has been planned and implemented in accordance with the requirements and policies of the Board of Certification for the Athletic Trainer (BOC) through the joint sponsorship of </w:t>
      </w:r>
      <w:r w:rsidRPr="00DA06A9">
        <w:rPr>
          <w:rFonts w:ascii="Noto Serif" w:eastAsia="Times New Roman" w:hAnsi="Noto Serif" w:cs="Noto Serif"/>
          <w:b/>
          <w:bCs/>
          <w:i/>
          <w:iCs/>
          <w:color w:val="000000"/>
          <w:sz w:val="24"/>
          <w:szCs w:val="24"/>
        </w:rPr>
        <w:t xml:space="preserve">(name of BOC Approved Provider) </w:t>
      </w:r>
      <w:r w:rsidRPr="00DA06A9">
        <w:rPr>
          <w:rFonts w:ascii="Noto Serif" w:eastAsia="Times New Roman" w:hAnsi="Noto Serif" w:cs="Noto Serif"/>
          <w:i/>
          <w:iCs/>
          <w:color w:val="000000"/>
          <w:sz w:val="24"/>
          <w:szCs w:val="24"/>
        </w:rPr>
        <w:t xml:space="preserve">and </w:t>
      </w:r>
      <w:r w:rsidRPr="00DA06A9">
        <w:rPr>
          <w:rFonts w:ascii="Noto Serif" w:eastAsia="Times New Roman" w:hAnsi="Noto Serif" w:cs="Noto Serif"/>
          <w:b/>
          <w:bCs/>
          <w:i/>
          <w:iCs/>
          <w:color w:val="000000"/>
          <w:sz w:val="24"/>
          <w:szCs w:val="24"/>
        </w:rPr>
        <w:t>(name of non-BOC approved provider).</w:t>
      </w:r>
      <w:r w:rsidRPr="00DA06A9">
        <w:rPr>
          <w:rFonts w:ascii="Noto Serif" w:eastAsia="Times New Roman" w:hAnsi="Noto Serif" w:cs="Noto Serif"/>
          <w:i/>
          <w:iCs/>
          <w:color w:val="000000"/>
          <w:sz w:val="24"/>
          <w:szCs w:val="24"/>
        </w:rPr>
        <w:t xml:space="preserve"> The </w:t>
      </w:r>
      <w:r w:rsidRPr="00DA06A9">
        <w:rPr>
          <w:rFonts w:ascii="Noto Serif" w:eastAsia="Times New Roman" w:hAnsi="Noto Serif" w:cs="Noto Serif"/>
          <w:b/>
          <w:bCs/>
          <w:i/>
          <w:iCs/>
          <w:color w:val="000000"/>
          <w:sz w:val="24"/>
          <w:szCs w:val="24"/>
        </w:rPr>
        <w:t>(name of BOC Approved Provider</w:t>
      </w:r>
      <w:r w:rsidRPr="00DA06A9">
        <w:rPr>
          <w:rFonts w:ascii="Noto Serif" w:eastAsia="Times New Roman" w:hAnsi="Noto Serif" w:cs="Noto Serif"/>
          <w:i/>
          <w:iCs/>
          <w:color w:val="000000"/>
          <w:sz w:val="24"/>
          <w:szCs w:val="24"/>
        </w:rPr>
        <w:t>) is approved by the BOC to provide continuing education for Athletic Trainers.</w:t>
      </w:r>
    </w:p>
    <w:p w14:paraId="4023380D" w14:textId="222A33D9" w:rsidR="00391A62" w:rsidRDefault="00391A62" w:rsidP="00785E5B">
      <w:pPr>
        <w:spacing w:after="0" w:line="240" w:lineRule="auto"/>
        <w:rPr>
          <w:rFonts w:ascii="Akzidenz Grotesk BE Regular" w:eastAsia="Times New Roman" w:hAnsi="Akzidenz Grotesk BE Regular" w:cs="Calibri"/>
          <w:i/>
          <w:iCs/>
          <w:color w:val="000000"/>
          <w:sz w:val="24"/>
          <w:szCs w:val="24"/>
        </w:rPr>
      </w:pPr>
    </w:p>
    <w:p w14:paraId="7B1BCD95" w14:textId="3A632DB0" w:rsidR="00391A62" w:rsidRPr="00DA06A9" w:rsidRDefault="00391A62" w:rsidP="00391A62">
      <w:pPr>
        <w:spacing w:after="0" w:line="240" w:lineRule="auto"/>
        <w:rPr>
          <w:rFonts w:ascii="Century Gothic" w:eastAsia="Times New Roman" w:hAnsi="Century Gothic" w:cs="Calibri"/>
          <w:b/>
          <w:bCs/>
          <w:color w:val="000000"/>
          <w:sz w:val="24"/>
          <w:szCs w:val="24"/>
        </w:rPr>
      </w:pPr>
      <w:r w:rsidRPr="00DA06A9">
        <w:rPr>
          <w:rFonts w:ascii="Century Gothic" w:eastAsia="Times New Roman" w:hAnsi="Century Gothic" w:cs="Calibri"/>
          <w:b/>
          <w:bCs/>
          <w:color w:val="000000"/>
          <w:sz w:val="24"/>
          <w:szCs w:val="24"/>
        </w:rPr>
        <w:t>Record Keeping</w:t>
      </w:r>
      <w:r w:rsidR="004C70E1" w:rsidRPr="00DA06A9">
        <w:rPr>
          <w:rFonts w:ascii="Century Gothic" w:eastAsia="Times New Roman" w:hAnsi="Century Gothic" w:cs="Calibri"/>
          <w:b/>
          <w:bCs/>
          <w:color w:val="000000"/>
          <w:sz w:val="24"/>
          <w:szCs w:val="24"/>
        </w:rPr>
        <w:t xml:space="preserve"> Policy</w:t>
      </w:r>
    </w:p>
    <w:p w14:paraId="56F02F12" w14:textId="46EC92E8" w:rsidR="00391A62" w:rsidRPr="00DA06A9" w:rsidRDefault="004C70E1" w:rsidP="00391A62">
      <w:pPr>
        <w:spacing w:after="0" w:line="240" w:lineRule="auto"/>
        <w:rPr>
          <w:rFonts w:ascii="Noto Serif" w:eastAsia="Times New Roman" w:hAnsi="Noto Serif" w:cs="Noto Serif"/>
          <w:color w:val="000000"/>
          <w:sz w:val="24"/>
          <w:szCs w:val="24"/>
        </w:rPr>
      </w:pPr>
      <w:r w:rsidRPr="00DA06A9">
        <w:rPr>
          <w:rFonts w:ascii="Noto Serif" w:eastAsia="Times New Roman" w:hAnsi="Noto Serif" w:cs="Noto Serif"/>
          <w:color w:val="000000"/>
          <w:sz w:val="24"/>
          <w:szCs w:val="24"/>
        </w:rPr>
        <w:t>The information must be made readily available to the BOC upon request when it is necessary to verify an Athletic Trainer’s participation in an activity or to provide a replacement statement of credit to attendees.</w:t>
      </w:r>
    </w:p>
    <w:p w14:paraId="7CCCA233" w14:textId="51776926" w:rsidR="004C70E1" w:rsidRPr="00DA06A9" w:rsidRDefault="004C70E1" w:rsidP="00391A62">
      <w:pPr>
        <w:spacing w:after="0" w:line="240" w:lineRule="auto"/>
        <w:rPr>
          <w:rFonts w:ascii="Noto Serif" w:eastAsia="Times New Roman" w:hAnsi="Noto Serif" w:cs="Noto Serif"/>
          <w:color w:val="000000"/>
          <w:sz w:val="24"/>
          <w:szCs w:val="24"/>
        </w:rPr>
      </w:pPr>
    </w:p>
    <w:p w14:paraId="6D09C2EC" w14:textId="761284BE" w:rsidR="004C70E1" w:rsidRPr="00DA06A9" w:rsidRDefault="004C70E1" w:rsidP="00391A62">
      <w:pPr>
        <w:spacing w:after="0" w:line="240" w:lineRule="auto"/>
        <w:rPr>
          <w:rFonts w:ascii="Noto Serif" w:eastAsia="Times New Roman" w:hAnsi="Noto Serif" w:cs="Noto Serif"/>
          <w:color w:val="000000"/>
          <w:sz w:val="24"/>
          <w:szCs w:val="24"/>
        </w:rPr>
      </w:pPr>
      <w:r w:rsidRPr="00DA06A9">
        <w:rPr>
          <w:rFonts w:ascii="Noto Serif" w:eastAsia="Times New Roman" w:hAnsi="Noto Serif" w:cs="Noto Serif"/>
          <w:color w:val="000000"/>
          <w:sz w:val="24"/>
          <w:szCs w:val="24"/>
        </w:rPr>
        <w:t xml:space="preserve">BOC Approved Providers do NOT have to submit materials to the BOC immediately after each event. However, please retain them for your records for five years. Use them to verify attendance should an Athletic Trainer request a replacement certificate and to complete the annual report. </w:t>
      </w:r>
    </w:p>
    <w:p w14:paraId="678E7E5A" w14:textId="77777777" w:rsidR="00391A62" w:rsidRPr="00DA06A9" w:rsidRDefault="00391A62" w:rsidP="00391A62">
      <w:pPr>
        <w:spacing w:after="0" w:line="240" w:lineRule="auto"/>
        <w:rPr>
          <w:rFonts w:ascii="Noto Serif" w:eastAsia="Times New Roman" w:hAnsi="Noto Serif" w:cs="Noto Serif"/>
          <w:b/>
          <w:bCs/>
          <w:color w:val="000000"/>
          <w:sz w:val="24"/>
          <w:szCs w:val="24"/>
        </w:rPr>
      </w:pPr>
    </w:p>
    <w:p w14:paraId="3D75F3A2" w14:textId="7CDBFC87" w:rsidR="00391A62" w:rsidRPr="00DA06A9" w:rsidRDefault="00391A62" w:rsidP="00391A62">
      <w:pPr>
        <w:spacing w:after="0" w:line="240" w:lineRule="auto"/>
        <w:rPr>
          <w:rFonts w:ascii="Century Gothic" w:eastAsia="Times New Roman" w:hAnsi="Century Gothic" w:cs="Times New Roman"/>
          <w:sz w:val="24"/>
          <w:szCs w:val="24"/>
        </w:rPr>
      </w:pPr>
      <w:r w:rsidRPr="00DA06A9">
        <w:rPr>
          <w:rFonts w:ascii="Century Gothic" w:eastAsia="Times New Roman" w:hAnsi="Century Gothic" w:cs="Calibri"/>
          <w:b/>
          <w:bCs/>
          <w:color w:val="000000"/>
          <w:sz w:val="24"/>
          <w:szCs w:val="24"/>
        </w:rPr>
        <w:t>Faculty Payment</w:t>
      </w:r>
      <w:r w:rsidR="004C70E1" w:rsidRPr="00DA06A9">
        <w:rPr>
          <w:rFonts w:ascii="Century Gothic" w:eastAsia="Times New Roman" w:hAnsi="Century Gothic" w:cs="Calibri"/>
          <w:b/>
          <w:bCs/>
          <w:color w:val="000000"/>
          <w:sz w:val="24"/>
          <w:szCs w:val="24"/>
        </w:rPr>
        <w:t xml:space="preserve"> Policy</w:t>
      </w:r>
    </w:p>
    <w:p w14:paraId="4813DF9A" w14:textId="26210321" w:rsidR="00391A62" w:rsidRPr="00DA06A9" w:rsidRDefault="00391A62" w:rsidP="00391A62">
      <w:pPr>
        <w:spacing w:after="0" w:line="240" w:lineRule="auto"/>
        <w:rPr>
          <w:rFonts w:ascii="Noto Serif" w:hAnsi="Noto Serif" w:cs="Noto Serif"/>
          <w:sz w:val="24"/>
          <w:szCs w:val="24"/>
        </w:rPr>
      </w:pPr>
      <w:r w:rsidRPr="00DA06A9">
        <w:rPr>
          <w:rFonts w:ascii="Noto Serif" w:hAnsi="Noto Serif" w:cs="Noto Serif"/>
          <w:sz w:val="24"/>
          <w:szCs w:val="24"/>
        </w:rPr>
        <w:t>Develop clearly defined policies on honoraria and expense reimbursement for program faculty.</w:t>
      </w:r>
    </w:p>
    <w:sectPr w:rsidR="00391A62" w:rsidRPr="00DA06A9" w:rsidSect="00E02B19">
      <w:footerReference w:type="default" r:id="rId7"/>
      <w:pgSz w:w="12240" w:h="15840"/>
      <w:pgMar w:top="108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88973" w14:textId="77777777" w:rsidR="00E02B19" w:rsidRDefault="00E02B19" w:rsidP="00785E5B">
      <w:pPr>
        <w:spacing w:after="0" w:line="240" w:lineRule="auto"/>
      </w:pPr>
      <w:r>
        <w:separator/>
      </w:r>
    </w:p>
  </w:endnote>
  <w:endnote w:type="continuationSeparator" w:id="0">
    <w:p w14:paraId="08B1FEBA" w14:textId="77777777" w:rsidR="00E02B19" w:rsidRDefault="00E02B19" w:rsidP="00785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kzidenz Grotesk BE Regular">
    <w:altName w:val="Calibri"/>
    <w:panose1 w:val="020B0604020202020204"/>
    <w:charset w:val="00"/>
    <w:family w:val="modern"/>
    <w:notTrueType/>
    <w:pitch w:val="variable"/>
    <w:sig w:usb0="8000002F" w:usb1="4000004A"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erif">
    <w:altName w:val="Cambria"/>
    <w:panose1 w:val="02020600060500020200"/>
    <w:charset w:val="00"/>
    <w:family w:val="roman"/>
    <w:pitch w:val="variable"/>
    <w:sig w:usb0="E00002FF" w:usb1="500078FF" w:usb2="00000029" w:usb3="00000000" w:csb0="0000019F" w:csb1="00000000"/>
  </w:font>
  <w:font w:name="Lato">
    <w:altName w:val="Segoe UI"/>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heme="minorEastAsia" w:cs="Times New Roman"/>
      </w:rPr>
      <w:id w:val="1130211887"/>
      <w:docPartObj>
        <w:docPartGallery w:val="Page Numbers (Bottom of Page)"/>
        <w:docPartUnique/>
      </w:docPartObj>
    </w:sdtPr>
    <w:sdtEndPr>
      <w:rPr>
        <w:rFonts w:ascii="Lato" w:eastAsiaTheme="majorEastAsia" w:hAnsi="Lato" w:cstheme="majorBidi"/>
        <w:noProof/>
        <w:color w:val="01457F"/>
        <w:sz w:val="28"/>
        <w:szCs w:val="28"/>
      </w:rPr>
    </w:sdtEndPr>
    <w:sdtContent>
      <w:p w14:paraId="268E34B7" w14:textId="7DAE458C" w:rsidR="00C97F79" w:rsidRPr="00C97F79" w:rsidRDefault="00C97F79">
        <w:pPr>
          <w:pStyle w:val="Footer"/>
          <w:jc w:val="center"/>
          <w:rPr>
            <w:rFonts w:ascii="Lato" w:eastAsiaTheme="majorEastAsia" w:hAnsi="Lato" w:cstheme="majorBidi"/>
            <w:color w:val="01457F"/>
            <w:sz w:val="28"/>
            <w:szCs w:val="28"/>
          </w:rPr>
        </w:pPr>
        <w:r w:rsidRPr="00C97F79">
          <w:rPr>
            <w:rFonts w:ascii="Lato" w:eastAsiaTheme="minorEastAsia" w:hAnsi="Lato" w:cs="Times New Roman"/>
            <w:color w:val="01457F"/>
            <w:sz w:val="28"/>
            <w:szCs w:val="28"/>
          </w:rPr>
          <w:fldChar w:fldCharType="begin"/>
        </w:r>
        <w:r w:rsidRPr="00C97F79">
          <w:rPr>
            <w:rFonts w:ascii="Lato" w:hAnsi="Lato"/>
            <w:color w:val="01457F"/>
            <w:sz w:val="28"/>
            <w:szCs w:val="28"/>
          </w:rPr>
          <w:instrText xml:space="preserve"> PAGE   \* MERGEFORMAT </w:instrText>
        </w:r>
        <w:r w:rsidRPr="00C97F79">
          <w:rPr>
            <w:rFonts w:ascii="Lato" w:eastAsiaTheme="minorEastAsia" w:hAnsi="Lato" w:cs="Times New Roman"/>
            <w:color w:val="01457F"/>
            <w:sz w:val="28"/>
            <w:szCs w:val="28"/>
          </w:rPr>
          <w:fldChar w:fldCharType="separate"/>
        </w:r>
        <w:r w:rsidRPr="00C97F79">
          <w:rPr>
            <w:rFonts w:ascii="Lato" w:eastAsiaTheme="majorEastAsia" w:hAnsi="Lato" w:cstheme="majorBidi"/>
            <w:noProof/>
            <w:color w:val="01457F"/>
            <w:sz w:val="28"/>
            <w:szCs w:val="28"/>
          </w:rPr>
          <w:t>2</w:t>
        </w:r>
        <w:r w:rsidRPr="00C97F79">
          <w:rPr>
            <w:rFonts w:ascii="Lato" w:eastAsiaTheme="majorEastAsia" w:hAnsi="Lato" w:cstheme="majorBidi"/>
            <w:noProof/>
            <w:color w:val="01457F"/>
            <w:sz w:val="28"/>
            <w:szCs w:val="28"/>
          </w:rPr>
          <w:fldChar w:fldCharType="end"/>
        </w:r>
      </w:p>
    </w:sdtContent>
  </w:sdt>
  <w:p w14:paraId="5224EA80" w14:textId="21CC0A20" w:rsidR="00785E5B" w:rsidRDefault="00785E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4A658" w14:textId="77777777" w:rsidR="00E02B19" w:rsidRDefault="00E02B19" w:rsidP="00785E5B">
      <w:pPr>
        <w:spacing w:after="0" w:line="240" w:lineRule="auto"/>
      </w:pPr>
      <w:r>
        <w:separator/>
      </w:r>
    </w:p>
  </w:footnote>
  <w:footnote w:type="continuationSeparator" w:id="0">
    <w:p w14:paraId="6BA49A29" w14:textId="77777777" w:rsidR="00E02B19" w:rsidRDefault="00E02B19" w:rsidP="00785E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2069F"/>
    <w:multiLevelType w:val="multilevel"/>
    <w:tmpl w:val="68F87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FB5ED3"/>
    <w:multiLevelType w:val="multilevel"/>
    <w:tmpl w:val="2FC63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AE4965"/>
    <w:multiLevelType w:val="multilevel"/>
    <w:tmpl w:val="B908E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6E2E81"/>
    <w:multiLevelType w:val="multilevel"/>
    <w:tmpl w:val="6868C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A140C9"/>
    <w:multiLevelType w:val="multilevel"/>
    <w:tmpl w:val="24D8C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D9485C"/>
    <w:multiLevelType w:val="multilevel"/>
    <w:tmpl w:val="84B8E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0258FF"/>
    <w:multiLevelType w:val="multilevel"/>
    <w:tmpl w:val="DA14E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082B97"/>
    <w:multiLevelType w:val="hybridMultilevel"/>
    <w:tmpl w:val="F20A3424"/>
    <w:lvl w:ilvl="0" w:tplc="98383F30">
      <w:start w:val="3"/>
      <w:numFmt w:val="upperRoman"/>
      <w:lvlText w:val="%1."/>
      <w:lvlJc w:val="right"/>
      <w:pPr>
        <w:tabs>
          <w:tab w:val="num" w:pos="720"/>
        </w:tabs>
        <w:ind w:left="720" w:hanging="360"/>
      </w:pPr>
    </w:lvl>
    <w:lvl w:ilvl="1" w:tplc="8BDE5128" w:tentative="1">
      <w:start w:val="1"/>
      <w:numFmt w:val="decimal"/>
      <w:lvlText w:val="%2."/>
      <w:lvlJc w:val="left"/>
      <w:pPr>
        <w:tabs>
          <w:tab w:val="num" w:pos="1440"/>
        </w:tabs>
        <w:ind w:left="1440" w:hanging="360"/>
      </w:pPr>
    </w:lvl>
    <w:lvl w:ilvl="2" w:tplc="F7D6583A" w:tentative="1">
      <w:start w:val="1"/>
      <w:numFmt w:val="decimal"/>
      <w:lvlText w:val="%3."/>
      <w:lvlJc w:val="left"/>
      <w:pPr>
        <w:tabs>
          <w:tab w:val="num" w:pos="2160"/>
        </w:tabs>
        <w:ind w:left="2160" w:hanging="360"/>
      </w:pPr>
    </w:lvl>
    <w:lvl w:ilvl="3" w:tplc="3078EEEC" w:tentative="1">
      <w:start w:val="1"/>
      <w:numFmt w:val="decimal"/>
      <w:lvlText w:val="%4."/>
      <w:lvlJc w:val="left"/>
      <w:pPr>
        <w:tabs>
          <w:tab w:val="num" w:pos="2880"/>
        </w:tabs>
        <w:ind w:left="2880" w:hanging="360"/>
      </w:pPr>
    </w:lvl>
    <w:lvl w:ilvl="4" w:tplc="89D091B2" w:tentative="1">
      <w:start w:val="1"/>
      <w:numFmt w:val="decimal"/>
      <w:lvlText w:val="%5."/>
      <w:lvlJc w:val="left"/>
      <w:pPr>
        <w:tabs>
          <w:tab w:val="num" w:pos="3600"/>
        </w:tabs>
        <w:ind w:left="3600" w:hanging="360"/>
      </w:pPr>
    </w:lvl>
    <w:lvl w:ilvl="5" w:tplc="D6CE4FE6" w:tentative="1">
      <w:start w:val="1"/>
      <w:numFmt w:val="decimal"/>
      <w:lvlText w:val="%6."/>
      <w:lvlJc w:val="left"/>
      <w:pPr>
        <w:tabs>
          <w:tab w:val="num" w:pos="4320"/>
        </w:tabs>
        <w:ind w:left="4320" w:hanging="360"/>
      </w:pPr>
    </w:lvl>
    <w:lvl w:ilvl="6" w:tplc="96769196" w:tentative="1">
      <w:start w:val="1"/>
      <w:numFmt w:val="decimal"/>
      <w:lvlText w:val="%7."/>
      <w:lvlJc w:val="left"/>
      <w:pPr>
        <w:tabs>
          <w:tab w:val="num" w:pos="5040"/>
        </w:tabs>
        <w:ind w:left="5040" w:hanging="360"/>
      </w:pPr>
    </w:lvl>
    <w:lvl w:ilvl="7" w:tplc="8E4206B2" w:tentative="1">
      <w:start w:val="1"/>
      <w:numFmt w:val="decimal"/>
      <w:lvlText w:val="%8."/>
      <w:lvlJc w:val="left"/>
      <w:pPr>
        <w:tabs>
          <w:tab w:val="num" w:pos="5760"/>
        </w:tabs>
        <w:ind w:left="5760" w:hanging="360"/>
      </w:pPr>
    </w:lvl>
    <w:lvl w:ilvl="8" w:tplc="1F4E53AE" w:tentative="1">
      <w:start w:val="1"/>
      <w:numFmt w:val="decimal"/>
      <w:lvlText w:val="%9."/>
      <w:lvlJc w:val="left"/>
      <w:pPr>
        <w:tabs>
          <w:tab w:val="num" w:pos="6480"/>
        </w:tabs>
        <w:ind w:left="6480" w:hanging="360"/>
      </w:pPr>
    </w:lvl>
  </w:abstractNum>
  <w:abstractNum w:abstractNumId="8" w15:restartNumberingAfterBreak="0">
    <w:nsid w:val="2EC14E38"/>
    <w:multiLevelType w:val="multilevel"/>
    <w:tmpl w:val="E0662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4E5CEF"/>
    <w:multiLevelType w:val="multilevel"/>
    <w:tmpl w:val="2E70F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ED1AC8"/>
    <w:multiLevelType w:val="multilevel"/>
    <w:tmpl w:val="37B81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5D76E9"/>
    <w:multiLevelType w:val="multilevel"/>
    <w:tmpl w:val="214A8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224B5E"/>
    <w:multiLevelType w:val="multilevel"/>
    <w:tmpl w:val="4DA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9A513A"/>
    <w:multiLevelType w:val="multilevel"/>
    <w:tmpl w:val="C3400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1129AF"/>
    <w:multiLevelType w:val="multilevel"/>
    <w:tmpl w:val="A768B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4428ED"/>
    <w:multiLevelType w:val="multilevel"/>
    <w:tmpl w:val="B2282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7E51BF"/>
    <w:multiLevelType w:val="multilevel"/>
    <w:tmpl w:val="A296D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660B7B"/>
    <w:multiLevelType w:val="multilevel"/>
    <w:tmpl w:val="4A365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5457E2"/>
    <w:multiLevelType w:val="multilevel"/>
    <w:tmpl w:val="60A63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FE4E07"/>
    <w:multiLevelType w:val="hybridMultilevel"/>
    <w:tmpl w:val="50A05AE2"/>
    <w:lvl w:ilvl="0" w:tplc="01ECF48C">
      <w:start w:val="2"/>
      <w:numFmt w:val="upperRoman"/>
      <w:lvlText w:val="%1."/>
      <w:lvlJc w:val="right"/>
      <w:pPr>
        <w:tabs>
          <w:tab w:val="num" w:pos="720"/>
        </w:tabs>
        <w:ind w:left="720" w:hanging="360"/>
      </w:pPr>
    </w:lvl>
    <w:lvl w:ilvl="1" w:tplc="234C80E0" w:tentative="1">
      <w:start w:val="1"/>
      <w:numFmt w:val="decimal"/>
      <w:lvlText w:val="%2."/>
      <w:lvlJc w:val="left"/>
      <w:pPr>
        <w:tabs>
          <w:tab w:val="num" w:pos="1440"/>
        </w:tabs>
        <w:ind w:left="1440" w:hanging="360"/>
      </w:pPr>
    </w:lvl>
    <w:lvl w:ilvl="2" w:tplc="8286ACEE" w:tentative="1">
      <w:start w:val="1"/>
      <w:numFmt w:val="decimal"/>
      <w:lvlText w:val="%3."/>
      <w:lvlJc w:val="left"/>
      <w:pPr>
        <w:tabs>
          <w:tab w:val="num" w:pos="2160"/>
        </w:tabs>
        <w:ind w:left="2160" w:hanging="360"/>
      </w:pPr>
    </w:lvl>
    <w:lvl w:ilvl="3" w:tplc="BD60A552" w:tentative="1">
      <w:start w:val="1"/>
      <w:numFmt w:val="decimal"/>
      <w:lvlText w:val="%4."/>
      <w:lvlJc w:val="left"/>
      <w:pPr>
        <w:tabs>
          <w:tab w:val="num" w:pos="2880"/>
        </w:tabs>
        <w:ind w:left="2880" w:hanging="360"/>
      </w:pPr>
    </w:lvl>
    <w:lvl w:ilvl="4" w:tplc="CE6801FC" w:tentative="1">
      <w:start w:val="1"/>
      <w:numFmt w:val="decimal"/>
      <w:lvlText w:val="%5."/>
      <w:lvlJc w:val="left"/>
      <w:pPr>
        <w:tabs>
          <w:tab w:val="num" w:pos="3600"/>
        </w:tabs>
        <w:ind w:left="3600" w:hanging="360"/>
      </w:pPr>
    </w:lvl>
    <w:lvl w:ilvl="5" w:tplc="76422C80" w:tentative="1">
      <w:start w:val="1"/>
      <w:numFmt w:val="decimal"/>
      <w:lvlText w:val="%6."/>
      <w:lvlJc w:val="left"/>
      <w:pPr>
        <w:tabs>
          <w:tab w:val="num" w:pos="4320"/>
        </w:tabs>
        <w:ind w:left="4320" w:hanging="360"/>
      </w:pPr>
    </w:lvl>
    <w:lvl w:ilvl="6" w:tplc="A80ED396" w:tentative="1">
      <w:start w:val="1"/>
      <w:numFmt w:val="decimal"/>
      <w:lvlText w:val="%7."/>
      <w:lvlJc w:val="left"/>
      <w:pPr>
        <w:tabs>
          <w:tab w:val="num" w:pos="5040"/>
        </w:tabs>
        <w:ind w:left="5040" w:hanging="360"/>
      </w:pPr>
    </w:lvl>
    <w:lvl w:ilvl="7" w:tplc="C004F84A" w:tentative="1">
      <w:start w:val="1"/>
      <w:numFmt w:val="decimal"/>
      <w:lvlText w:val="%8."/>
      <w:lvlJc w:val="left"/>
      <w:pPr>
        <w:tabs>
          <w:tab w:val="num" w:pos="5760"/>
        </w:tabs>
        <w:ind w:left="5760" w:hanging="360"/>
      </w:pPr>
    </w:lvl>
    <w:lvl w:ilvl="8" w:tplc="F328F618" w:tentative="1">
      <w:start w:val="1"/>
      <w:numFmt w:val="decimal"/>
      <w:lvlText w:val="%9."/>
      <w:lvlJc w:val="left"/>
      <w:pPr>
        <w:tabs>
          <w:tab w:val="num" w:pos="6480"/>
        </w:tabs>
        <w:ind w:left="6480" w:hanging="360"/>
      </w:pPr>
    </w:lvl>
  </w:abstractNum>
  <w:abstractNum w:abstractNumId="20" w15:restartNumberingAfterBreak="0">
    <w:nsid w:val="4A5F540B"/>
    <w:multiLevelType w:val="multilevel"/>
    <w:tmpl w:val="CDD61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F92819"/>
    <w:multiLevelType w:val="multilevel"/>
    <w:tmpl w:val="EFB0C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6B2F1F"/>
    <w:multiLevelType w:val="multilevel"/>
    <w:tmpl w:val="E3C20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367C49"/>
    <w:multiLevelType w:val="multilevel"/>
    <w:tmpl w:val="9D2AC7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965D4A"/>
    <w:multiLevelType w:val="multilevel"/>
    <w:tmpl w:val="47226E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806F54"/>
    <w:multiLevelType w:val="multilevel"/>
    <w:tmpl w:val="6A8C0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C2716EB"/>
    <w:multiLevelType w:val="multilevel"/>
    <w:tmpl w:val="B4443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EA44AF"/>
    <w:multiLevelType w:val="multilevel"/>
    <w:tmpl w:val="49C6A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432B0E"/>
    <w:multiLevelType w:val="multilevel"/>
    <w:tmpl w:val="0A92C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50224C"/>
    <w:multiLevelType w:val="multilevel"/>
    <w:tmpl w:val="EC8C3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A83B9E"/>
    <w:multiLevelType w:val="multilevel"/>
    <w:tmpl w:val="B1D60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C806BB"/>
    <w:multiLevelType w:val="multilevel"/>
    <w:tmpl w:val="AF503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AD58F5"/>
    <w:multiLevelType w:val="multilevel"/>
    <w:tmpl w:val="E8383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AF2DD8"/>
    <w:multiLevelType w:val="multilevel"/>
    <w:tmpl w:val="052E0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F46158"/>
    <w:multiLevelType w:val="multilevel"/>
    <w:tmpl w:val="73920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CF1994"/>
    <w:multiLevelType w:val="multilevel"/>
    <w:tmpl w:val="E6804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53046C"/>
    <w:multiLevelType w:val="multilevel"/>
    <w:tmpl w:val="936E7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DF77FA"/>
    <w:multiLevelType w:val="multilevel"/>
    <w:tmpl w:val="040CB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506C69"/>
    <w:multiLevelType w:val="multilevel"/>
    <w:tmpl w:val="89365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5760256">
    <w:abstractNumId w:val="24"/>
  </w:num>
  <w:num w:numId="2" w16cid:durableId="1462335617">
    <w:abstractNumId w:val="24"/>
  </w:num>
  <w:num w:numId="3" w16cid:durableId="106973317">
    <w:abstractNumId w:val="13"/>
  </w:num>
  <w:num w:numId="4" w16cid:durableId="711812410">
    <w:abstractNumId w:val="13"/>
  </w:num>
  <w:num w:numId="5" w16cid:durableId="1090276475">
    <w:abstractNumId w:val="23"/>
  </w:num>
  <w:num w:numId="6" w16cid:durableId="372972332">
    <w:abstractNumId w:val="23"/>
  </w:num>
  <w:num w:numId="7" w16cid:durableId="1698500842">
    <w:abstractNumId w:val="3"/>
  </w:num>
  <w:num w:numId="8" w16cid:durableId="374817911">
    <w:abstractNumId w:val="22"/>
  </w:num>
  <w:num w:numId="9" w16cid:durableId="2106686544">
    <w:abstractNumId w:val="11"/>
  </w:num>
  <w:num w:numId="10" w16cid:durableId="757480098">
    <w:abstractNumId w:val="8"/>
  </w:num>
  <w:num w:numId="11" w16cid:durableId="2144421263">
    <w:abstractNumId w:val="14"/>
  </w:num>
  <w:num w:numId="12" w16cid:durableId="754397471">
    <w:abstractNumId w:val="25"/>
    <w:lvlOverride w:ilvl="0">
      <w:lvl w:ilvl="0">
        <w:numFmt w:val="upperRoman"/>
        <w:lvlText w:val="%1."/>
        <w:lvlJc w:val="right"/>
      </w:lvl>
    </w:lvlOverride>
  </w:num>
  <w:num w:numId="13" w16cid:durableId="897934995">
    <w:abstractNumId w:val="33"/>
  </w:num>
  <w:num w:numId="14" w16cid:durableId="483282121">
    <w:abstractNumId w:val="10"/>
  </w:num>
  <w:num w:numId="15" w16cid:durableId="943733647">
    <w:abstractNumId w:val="2"/>
  </w:num>
  <w:num w:numId="16" w16cid:durableId="2018071187">
    <w:abstractNumId w:val="36"/>
  </w:num>
  <w:num w:numId="17" w16cid:durableId="529804203">
    <w:abstractNumId w:val="4"/>
  </w:num>
  <w:num w:numId="18" w16cid:durableId="1045325062">
    <w:abstractNumId w:val="6"/>
  </w:num>
  <w:num w:numId="19" w16cid:durableId="917986178">
    <w:abstractNumId w:val="35"/>
  </w:num>
  <w:num w:numId="20" w16cid:durableId="2117941075">
    <w:abstractNumId w:val="1"/>
  </w:num>
  <w:num w:numId="21" w16cid:durableId="645427891">
    <w:abstractNumId w:val="19"/>
  </w:num>
  <w:num w:numId="22" w16cid:durableId="842205785">
    <w:abstractNumId w:val="15"/>
  </w:num>
  <w:num w:numId="23" w16cid:durableId="1014500430">
    <w:abstractNumId w:val="34"/>
  </w:num>
  <w:num w:numId="24" w16cid:durableId="306715001">
    <w:abstractNumId w:val="38"/>
  </w:num>
  <w:num w:numId="25" w16cid:durableId="1374425211">
    <w:abstractNumId w:val="5"/>
  </w:num>
  <w:num w:numId="26" w16cid:durableId="2003390903">
    <w:abstractNumId w:val="21"/>
  </w:num>
  <w:num w:numId="27" w16cid:durableId="43606734">
    <w:abstractNumId w:val="7"/>
  </w:num>
  <w:num w:numId="28" w16cid:durableId="887379708">
    <w:abstractNumId w:val="31"/>
  </w:num>
  <w:num w:numId="29" w16cid:durableId="407271196">
    <w:abstractNumId w:val="29"/>
  </w:num>
  <w:num w:numId="30" w16cid:durableId="776556744">
    <w:abstractNumId w:val="18"/>
  </w:num>
  <w:num w:numId="31" w16cid:durableId="949094515">
    <w:abstractNumId w:val="26"/>
  </w:num>
  <w:num w:numId="32" w16cid:durableId="1642734361">
    <w:abstractNumId w:val="28"/>
  </w:num>
  <w:num w:numId="33" w16cid:durableId="557975782">
    <w:abstractNumId w:val="9"/>
  </w:num>
  <w:num w:numId="34" w16cid:durableId="690104217">
    <w:abstractNumId w:val="0"/>
  </w:num>
  <w:num w:numId="35" w16cid:durableId="1442142792">
    <w:abstractNumId w:val="17"/>
  </w:num>
  <w:num w:numId="36" w16cid:durableId="2139761303">
    <w:abstractNumId w:val="12"/>
  </w:num>
  <w:num w:numId="37" w16cid:durableId="1902130114">
    <w:abstractNumId w:val="20"/>
  </w:num>
  <w:num w:numId="38" w16cid:durableId="105662481">
    <w:abstractNumId w:val="30"/>
  </w:num>
  <w:num w:numId="39" w16cid:durableId="2042439330">
    <w:abstractNumId w:val="32"/>
  </w:num>
  <w:num w:numId="40" w16cid:durableId="209656740">
    <w:abstractNumId w:val="37"/>
  </w:num>
  <w:num w:numId="41" w16cid:durableId="1067613395">
    <w:abstractNumId w:val="27"/>
  </w:num>
  <w:num w:numId="42" w16cid:durableId="10782466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A6D"/>
    <w:rsid w:val="00011029"/>
    <w:rsid w:val="00020A6D"/>
    <w:rsid w:val="003276AE"/>
    <w:rsid w:val="00391A62"/>
    <w:rsid w:val="003F2124"/>
    <w:rsid w:val="004C70E1"/>
    <w:rsid w:val="00532889"/>
    <w:rsid w:val="00785E5B"/>
    <w:rsid w:val="00856184"/>
    <w:rsid w:val="00B06B8B"/>
    <w:rsid w:val="00C97F79"/>
    <w:rsid w:val="00DA06A9"/>
    <w:rsid w:val="00E02B19"/>
    <w:rsid w:val="00E03F19"/>
    <w:rsid w:val="00E3022E"/>
    <w:rsid w:val="00E70925"/>
    <w:rsid w:val="00F22AB6"/>
    <w:rsid w:val="00FA251F"/>
    <w:rsid w:val="00FD3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5A550"/>
  <w15:chartTrackingRefBased/>
  <w15:docId w15:val="{69FFAD6C-4C4D-4263-9F72-4C358952E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A62"/>
  </w:style>
  <w:style w:type="paragraph" w:styleId="Heading3">
    <w:name w:val="heading 3"/>
    <w:basedOn w:val="Normal"/>
    <w:link w:val="Heading3Char"/>
    <w:uiPriority w:val="9"/>
    <w:qFormat/>
    <w:rsid w:val="00020A6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20A6D"/>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020A6D"/>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20A6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20A6D"/>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020A6D"/>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020A6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20A6D"/>
    <w:rPr>
      <w:color w:val="0000FF"/>
      <w:u w:val="single"/>
    </w:rPr>
  </w:style>
  <w:style w:type="character" w:customStyle="1" w:styleId="apple-tab-span">
    <w:name w:val="apple-tab-span"/>
    <w:basedOn w:val="DefaultParagraphFont"/>
    <w:rsid w:val="00020A6D"/>
  </w:style>
  <w:style w:type="paragraph" w:styleId="BalloonText">
    <w:name w:val="Balloon Text"/>
    <w:basedOn w:val="Normal"/>
    <w:link w:val="BalloonTextChar"/>
    <w:uiPriority w:val="99"/>
    <w:semiHidden/>
    <w:unhideWhenUsed/>
    <w:rsid w:val="00FD35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57C"/>
    <w:rPr>
      <w:rFonts w:ascii="Segoe UI" w:hAnsi="Segoe UI" w:cs="Segoe UI"/>
      <w:sz w:val="18"/>
      <w:szCs w:val="18"/>
    </w:rPr>
  </w:style>
  <w:style w:type="character" w:styleId="CommentReference">
    <w:name w:val="annotation reference"/>
    <w:basedOn w:val="DefaultParagraphFont"/>
    <w:uiPriority w:val="99"/>
    <w:semiHidden/>
    <w:unhideWhenUsed/>
    <w:rsid w:val="00FD357C"/>
    <w:rPr>
      <w:sz w:val="16"/>
      <w:szCs w:val="16"/>
    </w:rPr>
  </w:style>
  <w:style w:type="paragraph" w:styleId="CommentText">
    <w:name w:val="annotation text"/>
    <w:basedOn w:val="Normal"/>
    <w:link w:val="CommentTextChar"/>
    <w:uiPriority w:val="99"/>
    <w:semiHidden/>
    <w:unhideWhenUsed/>
    <w:rsid w:val="00FD357C"/>
    <w:pPr>
      <w:spacing w:line="240" w:lineRule="auto"/>
    </w:pPr>
    <w:rPr>
      <w:sz w:val="20"/>
      <w:szCs w:val="20"/>
    </w:rPr>
  </w:style>
  <w:style w:type="character" w:customStyle="1" w:styleId="CommentTextChar">
    <w:name w:val="Comment Text Char"/>
    <w:basedOn w:val="DefaultParagraphFont"/>
    <w:link w:val="CommentText"/>
    <w:uiPriority w:val="99"/>
    <w:semiHidden/>
    <w:rsid w:val="00FD357C"/>
    <w:rPr>
      <w:sz w:val="20"/>
      <w:szCs w:val="20"/>
    </w:rPr>
  </w:style>
  <w:style w:type="paragraph" w:styleId="CommentSubject">
    <w:name w:val="annotation subject"/>
    <w:basedOn w:val="CommentText"/>
    <w:next w:val="CommentText"/>
    <w:link w:val="CommentSubjectChar"/>
    <w:uiPriority w:val="99"/>
    <w:semiHidden/>
    <w:unhideWhenUsed/>
    <w:rsid w:val="00FD357C"/>
    <w:rPr>
      <w:b/>
      <w:bCs/>
    </w:rPr>
  </w:style>
  <w:style w:type="character" w:customStyle="1" w:styleId="CommentSubjectChar">
    <w:name w:val="Comment Subject Char"/>
    <w:basedOn w:val="CommentTextChar"/>
    <w:link w:val="CommentSubject"/>
    <w:uiPriority w:val="99"/>
    <w:semiHidden/>
    <w:rsid w:val="00FD357C"/>
    <w:rPr>
      <w:b/>
      <w:bCs/>
      <w:sz w:val="20"/>
      <w:szCs w:val="20"/>
    </w:rPr>
  </w:style>
  <w:style w:type="paragraph" w:styleId="Header">
    <w:name w:val="header"/>
    <w:basedOn w:val="Normal"/>
    <w:link w:val="HeaderChar"/>
    <w:uiPriority w:val="99"/>
    <w:unhideWhenUsed/>
    <w:rsid w:val="00785E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E5B"/>
  </w:style>
  <w:style w:type="paragraph" w:styleId="Footer">
    <w:name w:val="footer"/>
    <w:basedOn w:val="Normal"/>
    <w:link w:val="FooterChar"/>
    <w:uiPriority w:val="99"/>
    <w:unhideWhenUsed/>
    <w:rsid w:val="00785E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E5B"/>
  </w:style>
  <w:style w:type="paragraph" w:styleId="ListParagraph">
    <w:name w:val="List Paragraph"/>
    <w:basedOn w:val="Normal"/>
    <w:uiPriority w:val="34"/>
    <w:qFormat/>
    <w:rsid w:val="00391A62"/>
    <w:pPr>
      <w:spacing w:after="200" w:line="276" w:lineRule="auto"/>
      <w:ind w:left="720"/>
      <w:contextualSpacing/>
    </w:pPr>
    <w:rPr>
      <w:rFonts w:ascii="Akzidenz Grotesk BE Regular" w:eastAsia="Calibri" w:hAnsi="Akzidenz Grotesk BE Regular"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639977">
      <w:bodyDiv w:val="1"/>
      <w:marLeft w:val="0"/>
      <w:marRight w:val="0"/>
      <w:marTop w:val="0"/>
      <w:marBottom w:val="0"/>
      <w:divBdr>
        <w:top w:val="none" w:sz="0" w:space="0" w:color="auto"/>
        <w:left w:val="none" w:sz="0" w:space="0" w:color="auto"/>
        <w:bottom w:val="none" w:sz="0" w:space="0" w:color="auto"/>
        <w:right w:val="none" w:sz="0" w:space="0" w:color="auto"/>
      </w:divBdr>
    </w:div>
    <w:div w:id="1005716099">
      <w:bodyDiv w:val="1"/>
      <w:marLeft w:val="0"/>
      <w:marRight w:val="0"/>
      <w:marTop w:val="0"/>
      <w:marBottom w:val="0"/>
      <w:divBdr>
        <w:top w:val="none" w:sz="0" w:space="0" w:color="auto"/>
        <w:left w:val="none" w:sz="0" w:space="0" w:color="auto"/>
        <w:bottom w:val="none" w:sz="0" w:space="0" w:color="auto"/>
        <w:right w:val="none" w:sz="0" w:space="0" w:color="auto"/>
      </w:divBdr>
    </w:div>
    <w:div w:id="1372151690">
      <w:bodyDiv w:val="1"/>
      <w:marLeft w:val="0"/>
      <w:marRight w:val="0"/>
      <w:marTop w:val="0"/>
      <w:marBottom w:val="0"/>
      <w:divBdr>
        <w:top w:val="none" w:sz="0" w:space="0" w:color="auto"/>
        <w:left w:val="none" w:sz="0" w:space="0" w:color="auto"/>
        <w:bottom w:val="none" w:sz="0" w:space="0" w:color="auto"/>
        <w:right w:val="none" w:sz="0" w:space="0" w:color="auto"/>
      </w:divBdr>
    </w:div>
    <w:div w:id="209728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862</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Joni Williams</dc:creator>
  <cp:keywords/>
  <dc:description/>
  <cp:lastModifiedBy>Natalie Brauer</cp:lastModifiedBy>
  <cp:revision>2</cp:revision>
  <dcterms:created xsi:type="dcterms:W3CDTF">2024-01-17T16:57:00Z</dcterms:created>
  <dcterms:modified xsi:type="dcterms:W3CDTF">2024-01-17T16:57:00Z</dcterms:modified>
</cp:coreProperties>
</file>