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4C0E" w14:textId="369F7D1C" w:rsidR="00FA251F" w:rsidRPr="00692F67" w:rsidRDefault="00FA251F" w:rsidP="00785E5B">
      <w:pPr>
        <w:spacing w:after="0" w:line="240" w:lineRule="auto"/>
        <w:jc w:val="center"/>
        <w:rPr>
          <w:rFonts w:eastAsia="Times New Roman" w:cstheme="minorHAnsi"/>
          <w:b/>
          <w:bCs/>
          <w:caps/>
          <w:color w:val="2E74B5" w:themeColor="accent5" w:themeShade="BF"/>
        </w:rPr>
      </w:pPr>
    </w:p>
    <w:p w14:paraId="3DDC619E" w14:textId="77777777" w:rsidR="00AB7C75" w:rsidRPr="00692F67" w:rsidRDefault="00AB7C75" w:rsidP="00E560B1">
      <w:pPr>
        <w:spacing w:after="0" w:line="240" w:lineRule="auto"/>
        <w:jc w:val="center"/>
        <w:rPr>
          <w:rFonts w:eastAsia="Times New Roman" w:cstheme="minorHAnsi"/>
          <w:color w:val="2E74B5" w:themeColor="accent5" w:themeShade="BF"/>
        </w:rPr>
      </w:pPr>
    </w:p>
    <w:p w14:paraId="0AEC37CF" w14:textId="77777777" w:rsidR="00AB7C75" w:rsidRPr="00692F67" w:rsidRDefault="00AB7C75" w:rsidP="00E560B1">
      <w:pPr>
        <w:spacing w:after="0" w:line="240" w:lineRule="auto"/>
        <w:jc w:val="center"/>
        <w:rPr>
          <w:rFonts w:eastAsia="Times New Roman" w:cstheme="minorHAnsi"/>
          <w:color w:val="2E74B5" w:themeColor="accent5" w:themeShade="BF"/>
        </w:rPr>
      </w:pPr>
    </w:p>
    <w:p w14:paraId="0A38657F" w14:textId="212CC27C" w:rsidR="00AB7C75" w:rsidRPr="00692F67" w:rsidRDefault="002C4056" w:rsidP="00E560B1">
      <w:pPr>
        <w:spacing w:after="0" w:line="240" w:lineRule="auto"/>
        <w:jc w:val="center"/>
        <w:rPr>
          <w:rFonts w:eastAsia="Times New Roman" w:cstheme="minorHAnsi"/>
          <w:color w:val="2E74B5" w:themeColor="accent5" w:themeShade="BF"/>
        </w:rPr>
      </w:pPr>
      <w:r>
        <w:rPr>
          <w:rFonts w:eastAsia="Times New Roman" w:cstheme="minorHAnsi"/>
          <w:b/>
          <w:bCs/>
          <w:caps/>
          <w:noProof/>
          <w:color w:val="2E74B5" w:themeColor="accent5" w:themeShade="BF"/>
        </w:rPr>
        <w:drawing>
          <wp:inline distT="0" distB="0" distL="0" distR="0" wp14:anchorId="4D2DCB70" wp14:editId="671EA651">
            <wp:extent cx="3026979" cy="888129"/>
            <wp:effectExtent l="0" t="0" r="0" b="0"/>
            <wp:docPr id="7244850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914" cy="89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E6722" w14:textId="77777777" w:rsidR="00AB7C75" w:rsidRPr="00692F67" w:rsidRDefault="00AB7C75" w:rsidP="00E560B1">
      <w:pPr>
        <w:spacing w:after="0" w:line="240" w:lineRule="auto"/>
        <w:jc w:val="center"/>
        <w:rPr>
          <w:rFonts w:eastAsia="Times New Roman" w:cstheme="minorHAnsi"/>
          <w:color w:val="2E74B5" w:themeColor="accent5" w:themeShade="BF"/>
        </w:rPr>
      </w:pPr>
    </w:p>
    <w:p w14:paraId="648564C2" w14:textId="77777777" w:rsidR="00AB7C75" w:rsidRPr="00692F67" w:rsidRDefault="00AB7C75" w:rsidP="00E560B1">
      <w:pPr>
        <w:spacing w:after="0" w:line="240" w:lineRule="auto"/>
        <w:jc w:val="center"/>
        <w:rPr>
          <w:rFonts w:eastAsia="Times New Roman" w:cstheme="minorHAnsi"/>
          <w:color w:val="2E74B5" w:themeColor="accent5" w:themeShade="BF"/>
        </w:rPr>
      </w:pPr>
    </w:p>
    <w:p w14:paraId="2966666E" w14:textId="314518AF" w:rsidR="00AB7C75" w:rsidRPr="00B271F6" w:rsidRDefault="630483EA" w:rsidP="00692F67">
      <w:pPr>
        <w:spacing w:after="0" w:line="240" w:lineRule="auto"/>
        <w:jc w:val="center"/>
        <w:rPr>
          <w:rFonts w:ascii="Century Gothic" w:eastAsia="Times New Roman" w:hAnsi="Century Gothic" w:cs="Calibri"/>
          <w:b/>
          <w:bCs/>
          <w:caps/>
          <w:sz w:val="28"/>
          <w:szCs w:val="28"/>
        </w:rPr>
      </w:pPr>
      <w:r w:rsidRPr="00B271F6">
        <w:rPr>
          <w:rFonts w:ascii="Century Gothic" w:eastAsia="Times New Roman" w:hAnsi="Century Gothic" w:cs="Calibri"/>
          <w:b/>
          <w:bCs/>
          <w:caps/>
          <w:sz w:val="28"/>
          <w:szCs w:val="28"/>
        </w:rPr>
        <w:t xml:space="preserve">BOC Approved Provider Operations Manual Template </w:t>
      </w:r>
      <w:r w:rsidR="007118F5" w:rsidRPr="00B271F6">
        <w:rPr>
          <w:rFonts w:ascii="Century Gothic" w:eastAsia="Times New Roman" w:hAnsi="Century Gothic" w:cs="Calibri"/>
          <w:b/>
          <w:bCs/>
          <w:caps/>
          <w:sz w:val="28"/>
          <w:szCs w:val="28"/>
        </w:rPr>
        <w:br/>
      </w:r>
    </w:p>
    <w:p w14:paraId="231FCFC7" w14:textId="635C192D" w:rsidR="00C97F79" w:rsidRPr="004F5EE2" w:rsidRDefault="00AB7C75" w:rsidP="00692F67">
      <w:pPr>
        <w:spacing w:after="0" w:line="240" w:lineRule="auto"/>
        <w:jc w:val="center"/>
        <w:rPr>
          <w:rFonts w:ascii="Arial" w:eastAsia="Times New Roman" w:hAnsi="Arial" w:cs="Arial"/>
          <w:color w:val="2E74B5" w:themeColor="accent5" w:themeShade="BF"/>
          <w:sz w:val="20"/>
          <w:szCs w:val="20"/>
        </w:rPr>
      </w:pPr>
      <w:r w:rsidRPr="00B901ED">
        <w:rPr>
          <w:rFonts w:ascii="Century Gothic" w:eastAsia="Times New Roman" w:hAnsi="Century Gothic" w:cstheme="minorHAnsi"/>
          <w:i/>
          <w:iCs/>
        </w:rPr>
        <w:t xml:space="preserve">For Organizations </w:t>
      </w:r>
      <w:r w:rsidR="00AC4049" w:rsidRPr="00B901ED">
        <w:rPr>
          <w:rFonts w:ascii="Century Gothic" w:eastAsia="Times New Roman" w:hAnsi="Century Gothic" w:cstheme="minorHAnsi"/>
          <w:i/>
          <w:iCs/>
        </w:rPr>
        <w:t xml:space="preserve">Approved to </w:t>
      </w:r>
      <w:r w:rsidR="003A111B" w:rsidRPr="00B901ED">
        <w:rPr>
          <w:rFonts w:ascii="Century Gothic" w:eastAsia="Times New Roman" w:hAnsi="Century Gothic" w:cstheme="minorHAnsi"/>
          <w:i/>
          <w:iCs/>
        </w:rPr>
        <w:t>Provide</w:t>
      </w:r>
      <w:r w:rsidR="00AC4049" w:rsidRPr="00B901ED">
        <w:rPr>
          <w:rFonts w:ascii="Century Gothic" w:eastAsia="Times New Roman" w:hAnsi="Century Gothic" w:cstheme="minorHAnsi"/>
          <w:i/>
          <w:iCs/>
        </w:rPr>
        <w:t xml:space="preserve"> </w:t>
      </w:r>
      <w:r w:rsidRPr="00B901ED">
        <w:rPr>
          <w:rFonts w:ascii="Century Gothic" w:eastAsia="Times New Roman" w:hAnsi="Century Gothic" w:cstheme="minorHAnsi"/>
          <w:i/>
          <w:iCs/>
        </w:rPr>
        <w:t xml:space="preserve">Continuing Education </w:t>
      </w:r>
      <w:r w:rsidR="00AC4049" w:rsidRPr="00B901ED">
        <w:rPr>
          <w:rFonts w:ascii="Century Gothic" w:eastAsia="Times New Roman" w:hAnsi="Century Gothic" w:cstheme="minorHAnsi"/>
          <w:i/>
          <w:iCs/>
        </w:rPr>
        <w:t>for</w:t>
      </w:r>
      <w:r w:rsidRPr="00B901ED">
        <w:rPr>
          <w:rFonts w:ascii="Century Gothic" w:eastAsia="Times New Roman" w:hAnsi="Century Gothic" w:cstheme="minorHAnsi"/>
          <w:i/>
          <w:iCs/>
        </w:rPr>
        <w:t xml:space="preserve"> Athletic Trainers</w:t>
      </w:r>
      <w:r w:rsidRPr="00B271F6">
        <w:rPr>
          <w:rFonts w:eastAsia="Times New Roman" w:cstheme="minorHAnsi"/>
        </w:rPr>
        <w:t xml:space="preserve">  </w:t>
      </w:r>
      <w:r w:rsidR="00E20474" w:rsidRPr="00B271F6">
        <w:rPr>
          <w:rFonts w:eastAsia="Times New Roman" w:cstheme="minorHAnsi"/>
        </w:rPr>
        <w:br/>
      </w:r>
      <w:r w:rsidR="00E20474" w:rsidRPr="00B271F6">
        <w:rPr>
          <w:rFonts w:eastAsia="Times New Roman" w:cstheme="minorHAnsi"/>
        </w:rPr>
        <w:br/>
      </w:r>
      <w:r w:rsidR="00E20474" w:rsidRPr="00B271F6">
        <w:rPr>
          <w:rFonts w:eastAsia="Times New Roman" w:cstheme="minorHAnsi"/>
        </w:rPr>
        <w:br/>
      </w:r>
      <w:r w:rsidR="00E20474" w:rsidRPr="00B271F6">
        <w:rPr>
          <w:rFonts w:eastAsia="Times New Roman" w:cstheme="minorHAnsi"/>
        </w:rPr>
        <w:br/>
      </w:r>
      <w:r w:rsidR="00E20474" w:rsidRPr="00B271F6">
        <w:rPr>
          <w:rFonts w:eastAsia="Times New Roman" w:cstheme="minorHAnsi"/>
        </w:rPr>
        <w:br/>
      </w:r>
      <w:r w:rsidR="00E20474" w:rsidRPr="00B271F6">
        <w:rPr>
          <w:rFonts w:eastAsia="Times New Roman" w:cstheme="minorHAnsi"/>
        </w:rPr>
        <w:br/>
      </w:r>
      <w:r w:rsidR="00E20474" w:rsidRPr="00B271F6">
        <w:rPr>
          <w:rFonts w:eastAsia="Times New Roman" w:cstheme="minorHAnsi"/>
        </w:rPr>
        <w:br/>
      </w:r>
      <w:r w:rsidR="00E20474" w:rsidRPr="00B271F6">
        <w:rPr>
          <w:rFonts w:eastAsia="Times New Roman" w:cstheme="minorHAnsi"/>
        </w:rPr>
        <w:br/>
      </w:r>
      <w:r w:rsidR="00E20474" w:rsidRPr="004F5EE2">
        <w:rPr>
          <w:rFonts w:ascii="Arial" w:eastAsia="Times New Roman" w:hAnsi="Arial" w:cs="Arial"/>
          <w:sz w:val="20"/>
          <w:szCs w:val="20"/>
        </w:rPr>
        <w:t xml:space="preserve">Issued by: </w:t>
      </w:r>
      <w:r w:rsidR="00E20474" w:rsidRPr="004F5EE2">
        <w:rPr>
          <w:rFonts w:ascii="Arial" w:eastAsia="Times New Roman" w:hAnsi="Arial" w:cs="Arial"/>
          <w:sz w:val="20"/>
          <w:szCs w:val="20"/>
        </w:rPr>
        <w:br/>
        <w:t>Board of Certification</w:t>
      </w:r>
      <w:r w:rsidR="00B271F6" w:rsidRPr="004F5EE2">
        <w:rPr>
          <w:rFonts w:ascii="Arial" w:eastAsia="Times New Roman" w:hAnsi="Arial" w:cs="Arial"/>
          <w:sz w:val="20"/>
          <w:szCs w:val="20"/>
        </w:rPr>
        <w:t xml:space="preserve">, Inc. </w:t>
      </w:r>
      <w:r w:rsidR="00E20474" w:rsidRPr="004F5EE2">
        <w:rPr>
          <w:rFonts w:ascii="Arial" w:eastAsia="Times New Roman" w:hAnsi="Arial" w:cs="Arial"/>
          <w:sz w:val="20"/>
          <w:szCs w:val="20"/>
        </w:rPr>
        <w:t>(BOC)</w:t>
      </w:r>
      <w:r w:rsidR="00E20474" w:rsidRPr="004F5EE2">
        <w:rPr>
          <w:rFonts w:ascii="Arial" w:eastAsia="Times New Roman" w:hAnsi="Arial" w:cs="Arial"/>
          <w:color w:val="2E74B5" w:themeColor="accent5" w:themeShade="BF"/>
          <w:sz w:val="20"/>
          <w:szCs w:val="20"/>
        </w:rPr>
        <w:br/>
      </w:r>
      <w:r w:rsidR="00E20474" w:rsidRPr="004F5EE2">
        <w:rPr>
          <w:rFonts w:ascii="Arial" w:eastAsia="Times New Roman" w:hAnsi="Arial" w:cs="Arial"/>
          <w:color w:val="2E74B5" w:themeColor="accent5" w:themeShade="BF"/>
          <w:sz w:val="20"/>
          <w:szCs w:val="20"/>
        </w:rPr>
        <w:br/>
      </w:r>
      <w:r w:rsidR="00E20474" w:rsidRPr="004F5EE2">
        <w:rPr>
          <w:rFonts w:ascii="Arial" w:eastAsia="Times New Roman" w:hAnsi="Arial" w:cs="Arial"/>
          <w:color w:val="2E74B5" w:themeColor="accent5" w:themeShade="BF"/>
          <w:sz w:val="20"/>
          <w:szCs w:val="20"/>
        </w:rPr>
        <w:br/>
      </w:r>
      <w:r w:rsidR="00E20474" w:rsidRPr="004F5EE2">
        <w:rPr>
          <w:rFonts w:ascii="Arial" w:eastAsia="Times New Roman" w:hAnsi="Arial" w:cs="Arial"/>
          <w:color w:val="2E74B5" w:themeColor="accent5" w:themeShade="BF"/>
          <w:sz w:val="20"/>
          <w:szCs w:val="20"/>
        </w:rPr>
        <w:br/>
      </w:r>
      <w:r w:rsidR="00C256DB" w:rsidRPr="004F5EE2">
        <w:rPr>
          <w:rFonts w:ascii="Arial" w:eastAsia="Times New Roman" w:hAnsi="Arial" w:cs="Arial"/>
          <w:color w:val="2E74B5" w:themeColor="accent5" w:themeShade="BF"/>
          <w:sz w:val="20"/>
          <w:szCs w:val="20"/>
        </w:rPr>
        <w:br/>
      </w:r>
    </w:p>
    <w:p w14:paraId="357FCBB8" w14:textId="77777777" w:rsidR="004F5EE2" w:rsidRDefault="00B17410" w:rsidP="008D5B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Purpose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94613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This template provides </w:t>
      </w:r>
      <w:r w:rsidR="00383D8E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templated </w:t>
      </w:r>
      <w:r w:rsidR="0094613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standardized language to support </w:t>
      </w:r>
      <w:r w:rsidR="009A1FD7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BOC Approved Providers in creating or updating an Operations Manual </w:t>
      </w:r>
      <w:r w:rsidR="008D5BB6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that reflects internal practices and aligns with </w:t>
      </w:r>
    </w:p>
    <w:p w14:paraId="38360AB5" w14:textId="38FF4ED3" w:rsidR="00EE05DE" w:rsidRPr="004F5EE2" w:rsidRDefault="008D5BB6" w:rsidP="008D5B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BOC Approved Provider Standards.  </w:t>
      </w:r>
      <w:r w:rsidR="00B17410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407980E" w14:textId="77777777" w:rsidR="00EE05DE" w:rsidRPr="004F5EE2" w:rsidRDefault="00EE05DE" w:rsidP="008D5BB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</w:p>
    <w:p w14:paraId="371CDC39" w14:textId="77777777" w:rsidR="00EE05DE" w:rsidRPr="00B90DD6" w:rsidRDefault="00EE05DE" w:rsidP="008D5BB6">
      <w:pPr>
        <w:spacing w:after="0" w:line="240" w:lineRule="auto"/>
        <w:jc w:val="center"/>
        <w:rPr>
          <w:rFonts w:ascii="Noto Serif" w:eastAsia="Times New Roman" w:hAnsi="Noto Serif" w:cs="Noto Serif"/>
          <w:color w:val="000000"/>
          <w:sz w:val="20"/>
          <w:szCs w:val="20"/>
        </w:rPr>
      </w:pPr>
    </w:p>
    <w:p w14:paraId="5771F56B" w14:textId="77777777" w:rsidR="00EE05DE" w:rsidRPr="00B90DD6" w:rsidRDefault="00EE05DE" w:rsidP="008D5BB6">
      <w:pPr>
        <w:spacing w:after="0" w:line="240" w:lineRule="auto"/>
        <w:jc w:val="center"/>
        <w:rPr>
          <w:rFonts w:ascii="Noto Serif" w:eastAsia="Times New Roman" w:hAnsi="Noto Serif" w:cs="Noto Serif"/>
          <w:color w:val="000000"/>
          <w:sz w:val="20"/>
          <w:szCs w:val="20"/>
        </w:rPr>
      </w:pPr>
    </w:p>
    <w:p w14:paraId="5402697C" w14:textId="77777777" w:rsidR="00EE05DE" w:rsidRPr="00B90DD6" w:rsidRDefault="00EE05DE" w:rsidP="008D5BB6">
      <w:pPr>
        <w:spacing w:after="0" w:line="240" w:lineRule="auto"/>
        <w:jc w:val="center"/>
        <w:rPr>
          <w:rFonts w:ascii="Noto Serif" w:eastAsia="Times New Roman" w:hAnsi="Noto Serif" w:cs="Noto Serif"/>
          <w:color w:val="000000"/>
          <w:sz w:val="20"/>
          <w:szCs w:val="20"/>
        </w:rPr>
      </w:pPr>
    </w:p>
    <w:p w14:paraId="37B2B678" w14:textId="77777777" w:rsidR="00EE05DE" w:rsidRPr="00B90DD6" w:rsidRDefault="00EE05DE" w:rsidP="008D5BB6">
      <w:pPr>
        <w:spacing w:after="0" w:line="240" w:lineRule="auto"/>
        <w:jc w:val="center"/>
        <w:rPr>
          <w:rFonts w:ascii="Noto Serif" w:eastAsia="Times New Roman" w:hAnsi="Noto Serif" w:cs="Noto Serif"/>
          <w:color w:val="000000"/>
          <w:sz w:val="20"/>
          <w:szCs w:val="20"/>
        </w:rPr>
      </w:pPr>
    </w:p>
    <w:p w14:paraId="7DE00387" w14:textId="77777777" w:rsidR="00EE05DE" w:rsidRPr="00B90DD6" w:rsidRDefault="00EE05DE" w:rsidP="008D5BB6">
      <w:pPr>
        <w:spacing w:after="0" w:line="240" w:lineRule="auto"/>
        <w:jc w:val="center"/>
        <w:rPr>
          <w:rFonts w:ascii="Noto Serif" w:eastAsia="Times New Roman" w:hAnsi="Noto Serif" w:cs="Noto Serif"/>
          <w:color w:val="000000"/>
          <w:sz w:val="20"/>
          <w:szCs w:val="20"/>
        </w:rPr>
      </w:pPr>
    </w:p>
    <w:p w14:paraId="59770776" w14:textId="77777777" w:rsidR="00EE05DE" w:rsidRPr="00B90DD6" w:rsidRDefault="00EE05DE" w:rsidP="008D5BB6">
      <w:pPr>
        <w:spacing w:after="0" w:line="240" w:lineRule="auto"/>
        <w:jc w:val="center"/>
        <w:rPr>
          <w:rFonts w:ascii="Noto Serif" w:eastAsia="Times New Roman" w:hAnsi="Noto Serif" w:cs="Noto Serif"/>
          <w:color w:val="000000"/>
          <w:sz w:val="20"/>
          <w:szCs w:val="20"/>
        </w:rPr>
      </w:pPr>
    </w:p>
    <w:p w14:paraId="545400D5" w14:textId="77777777" w:rsidR="00EE05DE" w:rsidRPr="00B90DD6" w:rsidRDefault="00EE05DE" w:rsidP="008D5BB6">
      <w:pPr>
        <w:spacing w:after="0" w:line="240" w:lineRule="auto"/>
        <w:jc w:val="center"/>
        <w:rPr>
          <w:rFonts w:ascii="Noto Serif" w:eastAsia="Times New Roman" w:hAnsi="Noto Serif" w:cs="Noto Serif"/>
          <w:color w:val="000000"/>
          <w:sz w:val="20"/>
          <w:szCs w:val="20"/>
        </w:rPr>
      </w:pPr>
    </w:p>
    <w:p w14:paraId="595FA8F4" w14:textId="77777777" w:rsidR="00EE05DE" w:rsidRPr="00B90DD6" w:rsidRDefault="00EE05DE" w:rsidP="008D5BB6">
      <w:pPr>
        <w:spacing w:after="0" w:line="240" w:lineRule="auto"/>
        <w:jc w:val="center"/>
        <w:rPr>
          <w:rFonts w:ascii="Noto Serif" w:eastAsia="Times New Roman" w:hAnsi="Noto Serif" w:cs="Noto Serif"/>
          <w:color w:val="000000"/>
          <w:sz w:val="20"/>
          <w:szCs w:val="20"/>
        </w:rPr>
      </w:pPr>
    </w:p>
    <w:p w14:paraId="042367E8" w14:textId="35B0C418" w:rsidR="008D5BB6" w:rsidRPr="00B90DD6" w:rsidRDefault="00D62A6A" w:rsidP="008D5BB6">
      <w:pPr>
        <w:spacing w:after="0" w:line="240" w:lineRule="auto"/>
        <w:jc w:val="center"/>
        <w:rPr>
          <w:rFonts w:ascii="Noto Serif" w:eastAsia="Times New Roman" w:hAnsi="Noto Serif" w:cs="Noto Serif"/>
          <w:color w:val="000000"/>
          <w:sz w:val="20"/>
          <w:szCs w:val="20"/>
        </w:rPr>
      </w:pPr>
      <w:r w:rsidRPr="00B90DD6">
        <w:rPr>
          <w:rFonts w:ascii="Noto Serif" w:eastAsia="Times New Roman" w:hAnsi="Noto Serif" w:cs="Noto Serif"/>
          <w:color w:val="000000"/>
          <w:sz w:val="20"/>
          <w:szCs w:val="20"/>
        </w:rPr>
        <w:br/>
      </w:r>
    </w:p>
    <w:p w14:paraId="4AD1759D" w14:textId="77777777" w:rsidR="008D5BB6" w:rsidRPr="00692F67" w:rsidRDefault="008D5BB6" w:rsidP="008D5BB6">
      <w:pPr>
        <w:spacing w:after="0" w:line="240" w:lineRule="auto"/>
        <w:jc w:val="center"/>
        <w:rPr>
          <w:rFonts w:eastAsia="Times New Roman" w:cstheme="minorHAnsi"/>
          <w:color w:val="000000"/>
        </w:rPr>
      </w:pPr>
    </w:p>
    <w:p w14:paraId="72AFD443" w14:textId="77777777" w:rsidR="00B90DD6" w:rsidRDefault="00B90DD6">
      <w:pPr>
        <w:rPr>
          <w:rFonts w:ascii="Noto Serif" w:eastAsia="Times New Roman" w:hAnsi="Noto Serif" w:cs="Noto Serif"/>
          <w:b/>
          <w:bCs/>
          <w:color w:val="000000"/>
        </w:rPr>
      </w:pPr>
      <w:r>
        <w:rPr>
          <w:rFonts w:ascii="Noto Serif" w:eastAsia="Times New Roman" w:hAnsi="Noto Serif" w:cs="Noto Serif"/>
          <w:b/>
          <w:bCs/>
          <w:color w:val="000000"/>
        </w:rPr>
        <w:br w:type="page"/>
      </w:r>
    </w:p>
    <w:p w14:paraId="1E70ECD7" w14:textId="52827ADA" w:rsidR="00E03B27" w:rsidRPr="004F5EE2" w:rsidRDefault="00D62A6A" w:rsidP="002C4056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 xml:space="preserve">Instructions </w:t>
      </w:r>
      <w:r w:rsidR="007B589B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for BOC Approved Providers</w:t>
      </w:r>
      <w:r w:rsidR="007B589B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B589B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7B589B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B17410" w:rsidRPr="004F5EE2">
        <w:rPr>
          <w:rFonts w:ascii="Arial" w:eastAsia="Times New Roman" w:hAnsi="Arial" w:cs="Arial"/>
          <w:color w:val="000000"/>
          <w:sz w:val="20"/>
          <w:szCs w:val="20"/>
        </w:rPr>
        <w:t>Th</w:t>
      </w:r>
      <w:r w:rsidR="00F927E2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e </w:t>
      </w:r>
      <w:r w:rsidR="0061492A" w:rsidRPr="004F5EE2">
        <w:rPr>
          <w:rFonts w:ascii="Arial" w:eastAsia="Times New Roman" w:hAnsi="Arial" w:cs="Arial"/>
          <w:color w:val="000000"/>
          <w:sz w:val="20"/>
          <w:szCs w:val="20"/>
        </w:rPr>
        <w:t>template</w:t>
      </w:r>
      <w:r w:rsidR="00B17410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that follow</w:t>
      </w:r>
      <w:r w:rsidR="0061492A" w:rsidRPr="004F5EE2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B17410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contain</w:t>
      </w:r>
      <w:r w:rsidR="0061492A" w:rsidRPr="004F5EE2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B17410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standardized language</w:t>
      </w:r>
      <w:r w:rsidR="00E03B27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to support BOC Approved Providers in creating or updating an internal Operations Manual for the administration of continuing education</w:t>
      </w:r>
      <w:r w:rsidR="00D91F3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(CE)</w:t>
      </w:r>
      <w:r w:rsidR="00E03B27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61492A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6258FF" w:rsidRPr="004F5EE2">
        <w:rPr>
          <w:rFonts w:ascii="Arial" w:eastAsia="Times New Roman" w:hAnsi="Arial" w:cs="Arial"/>
          <w:color w:val="000000"/>
          <w:sz w:val="20"/>
          <w:szCs w:val="20"/>
        </w:rPr>
        <w:br/>
        <w:t xml:space="preserve">BOC Approved </w:t>
      </w:r>
      <w:r w:rsidR="009427C9" w:rsidRPr="004F5EE2">
        <w:rPr>
          <w:rFonts w:ascii="Arial" w:eastAsia="Times New Roman" w:hAnsi="Arial" w:cs="Arial"/>
          <w:color w:val="000000"/>
          <w:sz w:val="20"/>
          <w:szCs w:val="20"/>
        </w:rPr>
        <w:t>Providers</w:t>
      </w:r>
      <w:r w:rsidR="006258F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should review and custo</w:t>
      </w:r>
      <w:r w:rsidR="00E03B27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mize this template as follows: </w:t>
      </w:r>
      <w:r w:rsidR="00E03B27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047A666F" w14:textId="57905C29" w:rsidR="005B65CF" w:rsidRPr="004F5EE2" w:rsidRDefault="00E03B27" w:rsidP="00E03B27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Copy, adapt or modify the content to reflect your </w:t>
      </w:r>
      <w:r w:rsidR="000B08A3" w:rsidRPr="004F5EE2">
        <w:rPr>
          <w:rFonts w:ascii="Arial" w:eastAsia="Times New Roman" w:hAnsi="Arial" w:cs="Arial"/>
          <w:color w:val="000000"/>
          <w:sz w:val="20"/>
          <w:szCs w:val="20"/>
        </w:rPr>
        <w:t>organization’s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internal policies, procedures and operational practice</w:t>
      </w:r>
      <w:r w:rsidR="009427C9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s </w:t>
      </w:r>
      <w:r w:rsidR="005B65CF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090809E9" w14:textId="582C7FDD" w:rsidR="00E03B27" w:rsidRPr="004F5EE2" w:rsidRDefault="003A111B" w:rsidP="00E03B27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Rebrand</w:t>
      </w:r>
      <w:r w:rsidR="005B65C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template for your organization.</w:t>
      </w:r>
      <w:r w:rsidR="004D2823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50B5984C" w14:textId="3E321B80" w:rsidR="00E03B27" w:rsidRPr="004F5EE2" w:rsidRDefault="004A5F30" w:rsidP="00E03B27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Replace all b</w:t>
      </w:r>
      <w:r w:rsidR="00E03B27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racketed </w:t>
      </w:r>
      <w:r w:rsidR="000B08A3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and bolded </w:t>
      </w:r>
      <w:r w:rsidR="00E03B27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text e.g. </w:t>
      </w:r>
      <w:r w:rsidR="00E03B27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[BOC Approved Provider Name] </w:t>
      </w:r>
      <w:r w:rsidR="00E03B27" w:rsidRPr="004F5EE2">
        <w:rPr>
          <w:rFonts w:ascii="Arial" w:eastAsia="Times New Roman" w:hAnsi="Arial" w:cs="Arial"/>
          <w:color w:val="000000"/>
          <w:sz w:val="20"/>
          <w:szCs w:val="20"/>
        </w:rPr>
        <w:t>with your organization’s official information</w:t>
      </w:r>
      <w:r w:rsidR="004D2823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3D625AD2" w14:textId="5146A363" w:rsidR="004A5F30" w:rsidRPr="004F5EE2" w:rsidRDefault="004A5F30" w:rsidP="004A5F30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Ensure all </w:t>
      </w:r>
      <w:r w:rsidR="009427C9" w:rsidRPr="004F5EE2">
        <w:rPr>
          <w:rFonts w:ascii="Arial" w:eastAsia="Times New Roman" w:hAnsi="Arial" w:cs="Arial"/>
          <w:color w:val="000000"/>
          <w:sz w:val="20"/>
          <w:szCs w:val="20"/>
        </w:rPr>
        <w:t>adaptations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427C9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remain consistent with the </w:t>
      </w:r>
      <w:hyperlink r:id="rId11" w:history="1">
        <w:r w:rsidR="009427C9" w:rsidRPr="004F5EE2">
          <w:rPr>
            <w:rStyle w:val="Hyperlink"/>
            <w:rFonts w:ascii="Arial" w:eastAsia="Times New Roman" w:hAnsi="Arial" w:cs="Arial"/>
            <w:sz w:val="20"/>
            <w:szCs w:val="20"/>
          </w:rPr>
          <w:t>BOC Approved Provider Standards</w:t>
        </w:r>
      </w:hyperlink>
      <w:r w:rsidR="009427C9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(2026) </w:t>
      </w:r>
      <w:r w:rsidR="004D2823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33D728C2" w14:textId="254A88AB" w:rsidR="00782D29" w:rsidRPr="004F5EE2" w:rsidRDefault="004A5F30" w:rsidP="004A5F30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In the sections where a policy choice is required</w:t>
      </w:r>
      <w:r w:rsidR="003A111B" w:rsidRPr="004F5EE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F52CFC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84CDD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bolded and bracketed 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e.g. </w:t>
      </w:r>
      <w:r w:rsidR="00E84CDD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[Option A</w:t>
      </w:r>
      <w:r w:rsidR="00E24351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], [Option B]</w:t>
      </w:r>
      <w:r w:rsidR="00782D29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 w:rsidR="00782D29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select the option that applies to your organization and delete the other</w:t>
      </w:r>
      <w:r w:rsidR="004D2823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4780E637" w14:textId="3769E02A" w:rsidR="00C145E0" w:rsidRPr="004F5EE2" w:rsidRDefault="00782D29" w:rsidP="004A5F30">
      <w:pPr>
        <w:pStyle w:val="ListParagraph"/>
        <w:numPr>
          <w:ilvl w:val="0"/>
          <w:numId w:val="4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Use the linked sample resources as needed to support implementation.</w:t>
      </w:r>
    </w:p>
    <w:p w14:paraId="7869642B" w14:textId="61445EE3" w:rsidR="00C145E0" w:rsidRPr="004F5EE2" w:rsidRDefault="00C145E0" w:rsidP="00C145E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3A111B" w:rsidRPr="004F5EE2">
        <w:rPr>
          <w:rFonts w:ascii="Arial" w:eastAsia="Times New Roman" w:hAnsi="Arial" w:cs="Arial"/>
          <w:color w:val="000000"/>
          <w:sz w:val="20"/>
          <w:szCs w:val="20"/>
        </w:rPr>
        <w:t>Your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completed Operations Manua</w:t>
      </w:r>
      <w:r w:rsidR="004D2823" w:rsidRPr="004F5EE2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should be maintained </w:t>
      </w:r>
      <w:r w:rsidR="004D2823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and used 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as an internal document and made available to the BOC upon request. 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24062D84" w14:textId="77777777" w:rsidR="00824C83" w:rsidRPr="004F5EE2" w:rsidRDefault="00824C83" w:rsidP="00C145E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35E8CBD" w14:textId="77777777" w:rsidR="00824C83" w:rsidRPr="004F5EE2" w:rsidRDefault="00824C83" w:rsidP="00C145E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E542FBB" w14:textId="77777777" w:rsidR="00824C83" w:rsidRPr="004F5EE2" w:rsidRDefault="00824C83" w:rsidP="00C145E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01D7C4B" w14:textId="77777777" w:rsidR="00824C83" w:rsidRPr="004F5EE2" w:rsidRDefault="00824C83" w:rsidP="00C145E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26EF8907" w14:textId="77777777" w:rsidR="00824C83" w:rsidRPr="004F5EE2" w:rsidRDefault="00824C83" w:rsidP="00C145E0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5BB6B9A" w14:textId="238B6C23" w:rsidR="00C145E0" w:rsidRPr="004F5EE2" w:rsidRDefault="00824C83" w:rsidP="00824C83">
      <w:pPr>
        <w:rPr>
          <w:rFonts w:ascii="Arial" w:eastAsia="Times New Roman" w:hAnsi="Arial" w:cs="Arial"/>
          <w:color w:val="000000"/>
        </w:rPr>
      </w:pPr>
      <w:r w:rsidRPr="004F5EE2">
        <w:rPr>
          <w:rFonts w:ascii="Arial" w:eastAsia="Times New Roman" w:hAnsi="Arial" w:cs="Arial"/>
          <w:color w:val="000000"/>
        </w:rPr>
        <w:br w:type="page"/>
      </w:r>
    </w:p>
    <w:p w14:paraId="0FFA74EC" w14:textId="77777777" w:rsidR="00C145E0" w:rsidRPr="004F5EE2" w:rsidRDefault="00C145E0" w:rsidP="00C145E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2CA6BB4" w14:textId="5EFF7946" w:rsidR="00C145E0" w:rsidRPr="004F5EE2" w:rsidRDefault="00A6649A" w:rsidP="00C145E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4F5EE2">
        <w:rPr>
          <w:rFonts w:ascii="Arial" w:eastAsia="Times New Roman" w:hAnsi="Arial" w:cs="Arial"/>
          <w:b/>
          <w:bCs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E216C8" wp14:editId="0A2ABCF3">
                <wp:simplePos x="0" y="0"/>
                <wp:positionH relativeFrom="column">
                  <wp:posOffset>-40005</wp:posOffset>
                </wp:positionH>
                <wp:positionV relativeFrom="paragraph">
                  <wp:posOffset>29845</wp:posOffset>
                </wp:positionV>
                <wp:extent cx="2360930" cy="764540"/>
                <wp:effectExtent l="0" t="0" r="228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64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12116" w14:textId="7F2A9D1B" w:rsidR="00A6649A" w:rsidRPr="006507EE" w:rsidRDefault="00A6649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507EE">
                              <w:rPr>
                                <w:rFonts w:ascii="Arial" w:hAnsi="Arial" w:cs="Arial"/>
                              </w:rPr>
                              <w:t>Your Organization’s Logo</w:t>
                            </w:r>
                            <w:r w:rsidRPr="006507EE">
                              <w:rPr>
                                <w:rFonts w:ascii="Arial" w:hAnsi="Arial" w:cs="Arial"/>
                              </w:rPr>
                              <w:br/>
                              <w:t>Name</w:t>
                            </w:r>
                            <w:r w:rsidRPr="006507EE">
                              <w:rPr>
                                <w:rFonts w:ascii="Arial" w:hAnsi="Arial" w:cs="Arial"/>
                              </w:rPr>
                              <w:br/>
                              <w:t>and/or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216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5pt;margin-top:2.35pt;width:185.9pt;height:60.2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">
                <v:textbox>
                  <w:txbxContent>
                    <w:p w14:paraId="4B512116" w14:textId="7F2A9D1B" w:rsidR="00A6649A" w:rsidRPr="006507EE" w:rsidRDefault="00A6649A">
                      <w:pPr>
                        <w:rPr>
                          <w:rFonts w:ascii="Arial" w:hAnsi="Arial" w:cs="Arial"/>
                        </w:rPr>
                      </w:pPr>
                      <w:r w:rsidRPr="006507EE">
                        <w:rPr>
                          <w:rFonts w:ascii="Arial" w:hAnsi="Arial" w:cs="Arial"/>
                        </w:rPr>
                        <w:t>Your Organization’s Logo</w:t>
                      </w:r>
                      <w:r w:rsidRPr="006507EE">
                        <w:rPr>
                          <w:rFonts w:ascii="Arial" w:hAnsi="Arial" w:cs="Arial"/>
                        </w:rPr>
                        <w:br/>
                        <w:t>Name</w:t>
                      </w:r>
                      <w:r w:rsidRPr="006507EE">
                        <w:rPr>
                          <w:rFonts w:ascii="Arial" w:hAnsi="Arial" w:cs="Arial"/>
                        </w:rPr>
                        <w:br/>
                        <w:t>and/or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1DD895" w14:textId="2DF42659" w:rsidR="00C145E0" w:rsidRPr="004F5EE2" w:rsidRDefault="00C145E0" w:rsidP="00C145E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67292A0D" w14:textId="77777777" w:rsidR="00C145E0" w:rsidRPr="004F5EE2" w:rsidRDefault="00C145E0" w:rsidP="00C145E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DDF7509" w14:textId="4D93E444" w:rsidR="00C145E0" w:rsidRPr="004F5EE2" w:rsidRDefault="00C145E0" w:rsidP="00C145E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405BE06A" w14:textId="25015BBD" w:rsidR="00C145E0" w:rsidRPr="004F5EE2" w:rsidRDefault="00C145E0" w:rsidP="00C145E0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49C0E95" w14:textId="023942AE" w:rsidR="00F52CFC" w:rsidRPr="004F5EE2" w:rsidRDefault="00F52CFC" w:rsidP="00DE23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7D0E0C0" w14:textId="77777777" w:rsidR="00F52CFC" w:rsidRPr="004F5EE2" w:rsidRDefault="00F52CFC" w:rsidP="00DE23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805AA5A" w14:textId="5F381523" w:rsidR="00F52CFC" w:rsidRPr="004F5EE2" w:rsidRDefault="00F52CFC" w:rsidP="00DE23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49279C5" w14:textId="77777777" w:rsidR="00253692" w:rsidRPr="004F5EE2" w:rsidRDefault="00253692" w:rsidP="00DE23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601D0BC" w14:textId="77777777" w:rsidR="00253692" w:rsidRPr="004F5EE2" w:rsidRDefault="00253692" w:rsidP="00DE23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8428240" w14:textId="77777777" w:rsidR="00824C83" w:rsidRPr="004F5EE2" w:rsidRDefault="00824C83" w:rsidP="00DE23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665409B" w14:textId="77777777" w:rsidR="00F52CFC" w:rsidRPr="004F5EE2" w:rsidRDefault="00F52CFC" w:rsidP="00DE23B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7516806" w14:textId="50581A8D" w:rsidR="00F52CFC" w:rsidRPr="004F5EE2" w:rsidRDefault="00AB014F" w:rsidP="00DE23B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4F5EE2">
        <w:rPr>
          <w:rFonts w:ascii="Arial" w:eastAsia="Times New Roman" w:hAnsi="Arial" w:cs="Arial"/>
          <w:b/>
          <w:bCs/>
          <w:color w:val="000000"/>
        </w:rPr>
        <w:t xml:space="preserve">[BOC Approved Provider Name] Operations Manual </w:t>
      </w:r>
      <w:r w:rsidR="002B3833" w:rsidRPr="004F5EE2">
        <w:rPr>
          <w:rFonts w:ascii="Arial" w:eastAsia="Times New Roman" w:hAnsi="Arial" w:cs="Arial"/>
          <w:b/>
          <w:bCs/>
          <w:color w:val="000000"/>
        </w:rPr>
        <w:br/>
      </w:r>
      <w:r w:rsidR="002B3833" w:rsidRPr="004F5EE2">
        <w:rPr>
          <w:rFonts w:ascii="Arial" w:eastAsia="Times New Roman" w:hAnsi="Arial" w:cs="Arial"/>
          <w:color w:val="000000"/>
        </w:rPr>
        <w:t xml:space="preserve">For </w:t>
      </w:r>
      <w:r w:rsidR="00336BF3" w:rsidRPr="004F5EE2">
        <w:rPr>
          <w:rFonts w:ascii="Arial" w:eastAsia="Times New Roman" w:hAnsi="Arial" w:cs="Arial"/>
          <w:color w:val="000000"/>
        </w:rPr>
        <w:t>O</w:t>
      </w:r>
      <w:r w:rsidR="002B3833" w:rsidRPr="004F5EE2">
        <w:rPr>
          <w:rFonts w:ascii="Arial" w:eastAsia="Times New Roman" w:hAnsi="Arial" w:cs="Arial"/>
          <w:color w:val="000000"/>
        </w:rPr>
        <w:t>rganizations</w:t>
      </w:r>
      <w:r w:rsidR="00336BF3" w:rsidRPr="004F5EE2">
        <w:rPr>
          <w:rFonts w:ascii="Arial" w:eastAsia="Times New Roman" w:hAnsi="Arial" w:cs="Arial"/>
          <w:color w:val="000000"/>
        </w:rPr>
        <w:t xml:space="preserve"> Providing Continuing Education to Athletic Trainers </w:t>
      </w:r>
      <w:r w:rsidR="00336BF3" w:rsidRPr="004F5EE2">
        <w:rPr>
          <w:rFonts w:ascii="Arial" w:eastAsia="Times New Roman" w:hAnsi="Arial" w:cs="Arial"/>
          <w:color w:val="000000"/>
        </w:rPr>
        <w:br/>
      </w:r>
      <w:r w:rsidR="00336BF3" w:rsidRPr="004F5EE2">
        <w:rPr>
          <w:rFonts w:ascii="Arial" w:eastAsia="Times New Roman" w:hAnsi="Arial" w:cs="Arial"/>
          <w:color w:val="000000"/>
        </w:rPr>
        <w:br/>
      </w:r>
      <w:r w:rsidR="00336BF3" w:rsidRPr="004F5EE2">
        <w:rPr>
          <w:rFonts w:ascii="Arial" w:eastAsia="Times New Roman" w:hAnsi="Arial" w:cs="Arial"/>
          <w:color w:val="000000"/>
        </w:rPr>
        <w:br/>
      </w:r>
      <w:r w:rsidR="00336BF3" w:rsidRPr="004F5EE2">
        <w:rPr>
          <w:rFonts w:ascii="Arial" w:eastAsia="Times New Roman" w:hAnsi="Arial" w:cs="Arial"/>
          <w:color w:val="000000"/>
        </w:rPr>
        <w:br/>
      </w:r>
      <w:r w:rsidR="00DE23B2" w:rsidRPr="004F5EE2">
        <w:rPr>
          <w:rFonts w:ascii="Arial" w:eastAsia="Times New Roman" w:hAnsi="Arial" w:cs="Arial"/>
          <w:color w:val="000000"/>
        </w:rPr>
        <w:br/>
      </w:r>
    </w:p>
    <w:p w14:paraId="4BC3E207" w14:textId="77777777" w:rsidR="00F52CFC" w:rsidRPr="004F5EE2" w:rsidRDefault="00F52CFC" w:rsidP="00DE23B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2098597B" w14:textId="24716266" w:rsidR="00F52CFC" w:rsidRPr="004F5EE2" w:rsidRDefault="00F52CFC" w:rsidP="00DE23B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62B048E4" w14:textId="77777777" w:rsidR="00F52CFC" w:rsidRPr="004F5EE2" w:rsidRDefault="00F52CFC" w:rsidP="00DE23B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38C931CB" w14:textId="77777777" w:rsidR="00F52CFC" w:rsidRPr="004F5EE2" w:rsidRDefault="00F52CFC" w:rsidP="00DE23B2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53C63862" w14:textId="77777777" w:rsidR="00824C83" w:rsidRPr="004F5EE2" w:rsidRDefault="00336BF3" w:rsidP="00FA251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4F5EE2">
        <w:rPr>
          <w:rFonts w:ascii="Arial" w:eastAsia="Times New Roman" w:hAnsi="Arial" w:cs="Arial"/>
          <w:color w:val="000000"/>
        </w:rPr>
        <w:br/>
      </w:r>
    </w:p>
    <w:p w14:paraId="6FCD84F6" w14:textId="77777777" w:rsidR="00824C83" w:rsidRPr="004F5EE2" w:rsidRDefault="00824C83" w:rsidP="00FA251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EA1F44" w14:textId="77777777" w:rsidR="00824C83" w:rsidRPr="004F5EE2" w:rsidRDefault="00824C83" w:rsidP="00FA251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CF30E27" w14:textId="77777777" w:rsidR="00824C83" w:rsidRPr="004F5EE2" w:rsidRDefault="00824C83" w:rsidP="00FA251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6A32B89" w14:textId="77777777" w:rsidR="00EE05DE" w:rsidRPr="004F5EE2" w:rsidRDefault="00EE05DE" w:rsidP="00FA251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87B60E6" w14:textId="77777777" w:rsidR="00EE05DE" w:rsidRPr="004F5EE2" w:rsidRDefault="00EE05DE" w:rsidP="00FA251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33DC55A7" w14:textId="77777777" w:rsidR="00EE05DE" w:rsidRPr="004F5EE2" w:rsidRDefault="00EE05DE" w:rsidP="00FA251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30AFF1B" w14:textId="77777777" w:rsidR="00EE05DE" w:rsidRPr="004F5EE2" w:rsidRDefault="00EE05DE" w:rsidP="00FA251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707F408" w14:textId="77777777" w:rsidR="00824C83" w:rsidRPr="004F5EE2" w:rsidRDefault="00824C83" w:rsidP="00FA251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77D537A" w14:textId="535FE67B" w:rsidR="001B466A" w:rsidRPr="004F5EE2" w:rsidRDefault="00336BF3" w:rsidP="001B466A">
      <w:pPr>
        <w:spacing w:after="0" w:line="360" w:lineRule="auto"/>
        <w:rPr>
          <w:rFonts w:ascii="Arial" w:eastAsia="Times New Roman" w:hAnsi="Arial" w:cs="Arial"/>
          <w:color w:val="000000"/>
        </w:rPr>
      </w:pPr>
      <w:r w:rsidRPr="004F5EE2">
        <w:rPr>
          <w:rFonts w:ascii="Arial" w:eastAsia="Times New Roman" w:hAnsi="Arial" w:cs="Arial"/>
          <w:color w:val="000000"/>
        </w:rPr>
        <w:br/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BOC Approved Provider Number [Insert your BOC AP Number] 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br/>
        <w:t>Effective Date [</w:t>
      </w:r>
      <w:r w:rsidR="00F361F9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MM/DD/YYYY] </w:t>
      </w:r>
      <w:r w:rsidR="00F361F9" w:rsidRPr="004F5EE2">
        <w:rPr>
          <w:rFonts w:ascii="Arial" w:eastAsia="Times New Roman" w:hAnsi="Arial" w:cs="Arial"/>
          <w:color w:val="000000"/>
          <w:sz w:val="20"/>
          <w:szCs w:val="20"/>
        </w:rPr>
        <w:br/>
        <w:t xml:space="preserve">Last Reviewed [MM/DD/YYYY] </w:t>
      </w:r>
      <w:r w:rsidR="00F361F9" w:rsidRPr="004F5EE2">
        <w:rPr>
          <w:rFonts w:ascii="Arial" w:eastAsia="Times New Roman" w:hAnsi="Arial" w:cs="Arial"/>
          <w:color w:val="000000"/>
          <w:sz w:val="20"/>
          <w:szCs w:val="20"/>
        </w:rPr>
        <w:br/>
        <w:t xml:space="preserve">Version </w:t>
      </w:r>
      <w:r w:rsidR="00DE23B2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History </w:t>
      </w:r>
      <w:r w:rsidR="00F361F9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[Version 1.0] </w:t>
      </w:r>
      <w:r w:rsidR="00F361F9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F41752" w:rsidRPr="004F5EE2">
        <w:rPr>
          <w:rFonts w:ascii="Arial" w:eastAsia="Times New Roman" w:hAnsi="Arial" w:cs="Arial"/>
          <w:color w:val="000000"/>
          <w:sz w:val="20"/>
          <w:szCs w:val="20"/>
        </w:rPr>
        <w:t>Continuing Education Administrator(s) [Names, Titles, Contact information]</w:t>
      </w:r>
      <w:r w:rsidR="00F41752" w:rsidRPr="004F5EE2">
        <w:rPr>
          <w:rFonts w:ascii="Arial" w:eastAsia="Times New Roman" w:hAnsi="Arial" w:cs="Arial"/>
          <w:color w:val="000000"/>
        </w:rPr>
        <w:t xml:space="preserve"> </w:t>
      </w:r>
      <w:r w:rsidRPr="004F5EE2">
        <w:rPr>
          <w:rFonts w:ascii="Arial" w:eastAsia="Times New Roman" w:hAnsi="Arial" w:cs="Arial"/>
          <w:color w:val="000000"/>
        </w:rPr>
        <w:br/>
      </w:r>
    </w:p>
    <w:p w14:paraId="668E12E1" w14:textId="2204B333" w:rsidR="00FA251F" w:rsidRPr="004F5EE2" w:rsidRDefault="001B466A" w:rsidP="001B466A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</w:rPr>
        <w:br w:type="page"/>
      </w:r>
      <w:r w:rsidR="002379B3" w:rsidRPr="004F5EE2">
        <w:rPr>
          <w:rFonts w:ascii="Arial" w:eastAsia="Times New Roman" w:hAnsi="Arial" w:cs="Arial"/>
          <w:b/>
          <w:bCs/>
          <w:sz w:val="20"/>
          <w:szCs w:val="20"/>
        </w:rPr>
        <w:lastRenderedPageBreak/>
        <w:t>[BOC Approved Provider Name]</w:t>
      </w:r>
      <w:r w:rsidR="00FC461F" w:rsidRPr="004F5EE2">
        <w:rPr>
          <w:rFonts w:ascii="Arial" w:eastAsia="Times New Roman" w:hAnsi="Arial" w:cs="Arial"/>
          <w:b/>
          <w:bCs/>
          <w:sz w:val="20"/>
          <w:szCs w:val="20"/>
        </w:rPr>
        <w:t xml:space="preserve"> Operations Manual Overview</w:t>
      </w:r>
      <w:r w:rsidR="00FC461F" w:rsidRPr="004F5EE2">
        <w:rPr>
          <w:rFonts w:ascii="Arial" w:eastAsia="Times New Roman" w:hAnsi="Arial" w:cs="Arial"/>
          <w:sz w:val="20"/>
          <w:szCs w:val="20"/>
        </w:rPr>
        <w:t xml:space="preserve"> </w:t>
      </w:r>
      <w:r w:rsidR="002379B3" w:rsidRPr="004F5EE2">
        <w:rPr>
          <w:rFonts w:ascii="Arial" w:hAnsi="Arial" w:cs="Arial"/>
          <w:sz w:val="20"/>
          <w:szCs w:val="20"/>
        </w:rPr>
        <w:br/>
      </w:r>
      <w:r w:rsidR="00FC461F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This </w:t>
      </w:r>
      <w:r w:rsidR="003A111B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>O</w:t>
      </w:r>
      <w:r w:rsidR="00FC461F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perations </w:t>
      </w:r>
      <w:r w:rsidR="003A111B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>M</w:t>
      </w:r>
      <w:r w:rsidR="00FC461F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anual documents the policies used by </w:t>
      </w:r>
      <w:r w:rsidR="00FC461F" w:rsidRPr="004F5EE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[BOC Approved Provider Name]</w:t>
      </w:r>
      <w:r w:rsidR="00FC461F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 plan, deliver and administer continuing education</w:t>
      </w:r>
      <w:r w:rsidR="00736770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(CE)</w:t>
      </w:r>
      <w:r w:rsidR="00FC461F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F52CFC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>activities</w:t>
      </w:r>
      <w:r w:rsidR="00FC461F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for Athletic Trainers. It is intended to support consistent operations, compliance with applica</w:t>
      </w:r>
      <w:r w:rsidR="22D2B6A2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>ble</w:t>
      </w:r>
      <w:r w:rsidR="00FC461F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requirements, and alignment with the BOC Approved Provider Standards. </w:t>
      </w:r>
      <w:r w:rsidR="002379B3" w:rsidRPr="004F5EE2">
        <w:rPr>
          <w:rFonts w:ascii="Arial" w:hAnsi="Arial" w:cs="Arial"/>
          <w:sz w:val="20"/>
          <w:szCs w:val="20"/>
        </w:rPr>
        <w:br/>
      </w:r>
      <w:r w:rsidR="002379B3" w:rsidRPr="004F5EE2">
        <w:rPr>
          <w:rFonts w:ascii="Arial" w:hAnsi="Arial" w:cs="Arial"/>
          <w:sz w:val="20"/>
          <w:szCs w:val="20"/>
        </w:rPr>
        <w:br/>
      </w:r>
      <w:r w:rsidR="00FC461F" w:rsidRPr="004F5EE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Scope</w:t>
      </w:r>
      <w:r w:rsidR="002379B3" w:rsidRPr="004F5EE2">
        <w:rPr>
          <w:rFonts w:ascii="Arial" w:hAnsi="Arial" w:cs="Arial"/>
          <w:sz w:val="20"/>
          <w:szCs w:val="20"/>
        </w:rPr>
        <w:br/>
      </w:r>
      <w:r w:rsidR="00FC461F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This manual </w:t>
      </w:r>
      <w:r w:rsidR="003A111B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>applies</w:t>
      </w:r>
      <w:r w:rsidR="00FC461F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 all continuing education activities</w:t>
      </w:r>
      <w:r w:rsidR="00DC2F6C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offered by [BOC Approved Provider Name], including the planning, development, delivery, evaluation, credit issuance and recordkeeping. </w:t>
      </w:r>
      <w:r w:rsidR="002379B3" w:rsidRPr="004F5EE2">
        <w:rPr>
          <w:rFonts w:ascii="Arial" w:hAnsi="Arial" w:cs="Arial"/>
          <w:sz w:val="20"/>
          <w:szCs w:val="20"/>
        </w:rPr>
        <w:br/>
      </w:r>
      <w:r w:rsidR="002379B3" w:rsidRPr="004F5EE2">
        <w:rPr>
          <w:rFonts w:ascii="Arial" w:hAnsi="Arial" w:cs="Arial"/>
          <w:sz w:val="20"/>
          <w:szCs w:val="20"/>
        </w:rPr>
        <w:br/>
      </w:r>
      <w:r w:rsidR="00DC2F6C" w:rsidRPr="004F5EE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Maintenance and Review </w:t>
      </w:r>
      <w:r w:rsidR="002379B3" w:rsidRPr="004F5EE2">
        <w:rPr>
          <w:rFonts w:ascii="Arial" w:hAnsi="Arial" w:cs="Arial"/>
          <w:sz w:val="20"/>
          <w:szCs w:val="20"/>
        </w:rPr>
        <w:br/>
      </w:r>
      <w:r w:rsidR="00DC2F6C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This Operations Manual is reviewed </w:t>
      </w:r>
      <w:r w:rsidR="00765B2E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periodically, at </w:t>
      </w:r>
      <w:r w:rsidR="003A111B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>least</w:t>
      </w:r>
      <w:r w:rsidR="00765B2E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annually, and updated as needed to reflect changes in organizational practice or BOC requirements. </w:t>
      </w:r>
      <w:r w:rsidR="002379B3" w:rsidRPr="004F5EE2">
        <w:rPr>
          <w:rFonts w:ascii="Arial" w:hAnsi="Arial" w:cs="Arial"/>
          <w:sz w:val="20"/>
          <w:szCs w:val="20"/>
        </w:rPr>
        <w:br/>
      </w:r>
    </w:p>
    <w:p w14:paraId="73772F0E" w14:textId="1C39D2F8" w:rsidR="00FA251F" w:rsidRPr="004F5EE2" w:rsidRDefault="00FA251F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Non-Discriminat</w:t>
      </w:r>
      <w:r w:rsidR="00856184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ion</w:t>
      </w: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</w:t>
      </w:r>
      <w:r w:rsidR="00856184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olicy</w:t>
      </w:r>
    </w:p>
    <w:p w14:paraId="3E552CD0" w14:textId="36949C25" w:rsidR="00FA251F" w:rsidRPr="004F5EE2" w:rsidRDefault="00FA251F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No individual should be denied participation in CE programs offered by BOC Approved Providers </w:t>
      </w:r>
      <w:r w:rsidR="003A111B" w:rsidRPr="004F5EE2">
        <w:rPr>
          <w:rFonts w:ascii="Arial" w:eastAsia="Times New Roman" w:hAnsi="Arial" w:cs="Arial"/>
          <w:color w:val="000000"/>
          <w:sz w:val="20"/>
          <w:szCs w:val="20"/>
        </w:rPr>
        <w:t>based on</w:t>
      </w:r>
      <w:r w:rsidR="00F22AB6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76BE3" w:rsidRPr="004F5EE2">
        <w:rPr>
          <w:rFonts w:ascii="Arial" w:eastAsia="Times New Roman" w:hAnsi="Arial" w:cs="Arial"/>
          <w:color w:val="000000"/>
          <w:sz w:val="20"/>
          <w:szCs w:val="20"/>
        </w:rPr>
        <w:t>protected classes</w:t>
      </w:r>
      <w:r w:rsidR="001E4900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56184" w:rsidRPr="004F5EE2">
        <w:rPr>
          <w:rFonts w:ascii="Arial" w:eastAsia="Times New Roman" w:hAnsi="Arial" w:cs="Arial"/>
          <w:color w:val="000000"/>
          <w:sz w:val="20"/>
          <w:szCs w:val="20"/>
        </w:rPr>
        <w:t>or any other basis protected by applicable federal, state or local law, ordinance or regulation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4A503CC" w14:textId="77777777" w:rsidR="00FA251F" w:rsidRPr="004F5EE2" w:rsidRDefault="00FA251F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8F99F4" w14:textId="78832B2E" w:rsidR="00FA251F" w:rsidRPr="004F5EE2" w:rsidRDefault="00FA251F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The statement below is provided for inclusion in education program materials</w:t>
      </w:r>
      <w:r w:rsidR="003A111B" w:rsidRPr="004F5EE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including, but not limited to</w:t>
      </w:r>
      <w:r w:rsidR="00F22AB6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>mailings, brochures and websites:</w:t>
      </w:r>
    </w:p>
    <w:p w14:paraId="0511EE40" w14:textId="77777777" w:rsidR="00FA251F" w:rsidRPr="004F5EE2" w:rsidRDefault="00FA251F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BEDC11A" w14:textId="489FAEB3" w:rsidR="00FA251F" w:rsidRPr="004F5EE2" w:rsidRDefault="00E840AE" w:rsidP="00692F67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[BOC Approved Provider Name</w:t>
      </w:r>
      <w:r w:rsidR="00F75B3D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]</w:t>
      </w:r>
      <w:r w:rsidR="00FA251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does not discriminate </w:t>
      </w:r>
      <w:r w:rsidR="003A111B" w:rsidRPr="004F5EE2">
        <w:rPr>
          <w:rFonts w:ascii="Arial" w:eastAsia="Times New Roman" w:hAnsi="Arial" w:cs="Arial"/>
          <w:color w:val="000000"/>
          <w:sz w:val="20"/>
          <w:szCs w:val="20"/>
        </w:rPr>
        <w:t>based on</w:t>
      </w:r>
      <w:r w:rsidR="00FA251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C354C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any </w:t>
      </w:r>
      <w:r w:rsidR="00E96E07" w:rsidRPr="004F5EE2">
        <w:rPr>
          <w:rFonts w:ascii="Arial" w:eastAsia="Times New Roman" w:hAnsi="Arial" w:cs="Arial"/>
          <w:color w:val="000000"/>
          <w:sz w:val="20"/>
          <w:szCs w:val="20"/>
        </w:rPr>
        <w:t>protected classes or any other b</w:t>
      </w:r>
      <w:r w:rsidR="00D90E55" w:rsidRPr="004F5EE2">
        <w:rPr>
          <w:rFonts w:ascii="Arial" w:eastAsia="Times New Roman" w:hAnsi="Arial" w:cs="Arial"/>
          <w:color w:val="000000"/>
          <w:sz w:val="20"/>
          <w:szCs w:val="20"/>
        </w:rPr>
        <w:t>asis</w:t>
      </w:r>
      <w:r w:rsidR="00E96E07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p</w:t>
      </w:r>
      <w:r w:rsidR="00D90E55" w:rsidRPr="004F5EE2">
        <w:rPr>
          <w:rFonts w:ascii="Arial" w:eastAsia="Times New Roman" w:hAnsi="Arial" w:cs="Arial"/>
          <w:color w:val="000000"/>
          <w:sz w:val="20"/>
          <w:szCs w:val="20"/>
        </w:rPr>
        <w:t>rohibited</w:t>
      </w:r>
      <w:r w:rsidR="00E96E07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by applicable federal, state or local law</w:t>
      </w:r>
      <w:r w:rsidR="00D90E55" w:rsidRPr="004F5EE2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0A0FAB" w:rsidRPr="004F5EE2">
        <w:rPr>
          <w:rFonts w:ascii="Arial" w:eastAsia="Times New Roman" w:hAnsi="Arial" w:cs="Arial"/>
          <w:color w:val="000000"/>
          <w:sz w:val="20"/>
          <w:szCs w:val="20"/>
        </w:rPr>
        <w:t>, ordinance</w:t>
      </w:r>
      <w:r w:rsidR="00D90E55" w:rsidRPr="004F5EE2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0A0FAB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or regulation</w:t>
      </w:r>
      <w:r w:rsidR="00D90E55" w:rsidRPr="004F5EE2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0A0FAB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F75B3D" w:rsidRPr="004F5EE2">
        <w:rPr>
          <w:rFonts w:ascii="Arial" w:eastAsia="Times New Roman" w:hAnsi="Arial" w:cs="Arial"/>
          <w:color w:val="000000"/>
          <w:sz w:val="20"/>
          <w:szCs w:val="20"/>
        </w:rPr>
        <w:t>[BOC Approved Provider Name]</w:t>
      </w:r>
      <w:r w:rsidR="00FA251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is committed to accessibility and non-discrimination in all aspects of its continuing education activities. Participants </w:t>
      </w:r>
      <w:r w:rsidR="003A111B" w:rsidRPr="004F5EE2">
        <w:rPr>
          <w:rFonts w:ascii="Arial" w:eastAsia="Times New Roman" w:hAnsi="Arial" w:cs="Arial"/>
          <w:color w:val="000000"/>
          <w:sz w:val="20"/>
          <w:szCs w:val="20"/>
        </w:rPr>
        <w:t>with special needs are encouraged to contact program organizers so that all reasonable efforts to accommodate them</w:t>
      </w:r>
      <w:r w:rsidR="00FA251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can be made.</w:t>
      </w:r>
    </w:p>
    <w:p w14:paraId="0B15D099" w14:textId="6646D2BB" w:rsidR="00FA251F" w:rsidRPr="004F5EE2" w:rsidRDefault="00B31FF3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sz w:val="20"/>
          <w:szCs w:val="20"/>
        </w:rPr>
        <w:br/>
      </w:r>
    </w:p>
    <w:p w14:paraId="5EF0425D" w14:textId="54DED7CD" w:rsidR="00FA251F" w:rsidRPr="004F5EE2" w:rsidRDefault="00FA251F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Copyright</w:t>
      </w:r>
      <w:r w:rsidR="0051646B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E70925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Policy</w:t>
      </w:r>
    </w:p>
    <w:p w14:paraId="422EE03F" w14:textId="430F12AB" w:rsidR="00FA251F" w:rsidRPr="004F5EE2" w:rsidRDefault="00E94E76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[BOC Approved Provider Name]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complies with </w:t>
      </w:r>
      <w:r w:rsidR="00FA251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United States </w:t>
      </w:r>
      <w:r w:rsidR="00EB0D30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copyright laws and requires all educational materials to respect intellectual property rights. </w:t>
      </w:r>
      <w:r w:rsidR="00CE69D1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CE69D1" w:rsidRPr="004F5EE2">
        <w:rPr>
          <w:rFonts w:ascii="Arial" w:eastAsia="Times New Roman" w:hAnsi="Arial" w:cs="Arial"/>
          <w:color w:val="000000"/>
          <w:sz w:val="20"/>
          <w:szCs w:val="20"/>
        </w:rPr>
        <w:br/>
        <w:t xml:space="preserve">To comply with copyright law and prevent unauthorized use or plagiarism, the following practices apply: </w:t>
      </w:r>
      <w:r w:rsidR="00FA251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B0D30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1B5DB166" w14:textId="55029E47" w:rsidR="00FA251F" w:rsidRPr="004F5EE2" w:rsidRDefault="00A26A75" w:rsidP="00FA251F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All program materials </w:t>
      </w:r>
      <w:r w:rsidR="00AB64DA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(print and digital) must display </w:t>
      </w:r>
      <w:r w:rsidR="00D06F9B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appropriate copyright attribution. </w:t>
      </w:r>
    </w:p>
    <w:p w14:paraId="746B47BB" w14:textId="2C0FAD3B" w:rsidR="00FA251F" w:rsidRPr="004F5EE2" w:rsidRDefault="00D06F9B" w:rsidP="00FA251F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Evidence </w:t>
      </w:r>
      <w:r w:rsidR="00A92E67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of </w:t>
      </w:r>
      <w:r w:rsidR="00FA251F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permission </w:t>
      </w:r>
      <w:r w:rsidR="00A92E67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to use </w:t>
      </w:r>
      <w:r w:rsidR="00FA251F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protected materials </w:t>
      </w:r>
      <w:r w:rsidR="00A46BF3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must be obtained </w:t>
      </w:r>
      <w:r w:rsidR="00FA251F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(e.g., faculty release form</w:t>
      </w:r>
      <w:r w:rsidR="00A46BF3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FA251F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, l</w:t>
      </w:r>
      <w:r w:rsidR="00A46BF3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icensing </w:t>
      </w:r>
      <w:r w:rsidR="00FA251F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agreement</w:t>
      </w:r>
      <w:r w:rsidR="00A46BF3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FA251F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). </w:t>
      </w:r>
      <w:hyperlink r:id="rId12" w:history="1">
        <w:r w:rsidR="00FA251F" w:rsidRPr="00456B61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A sample </w:t>
        </w:r>
        <w:r w:rsidR="009C6710" w:rsidRPr="00456B61">
          <w:rPr>
            <w:rStyle w:val="Hyperlink"/>
            <w:rFonts w:ascii="Arial" w:eastAsia="Times New Roman" w:hAnsi="Arial" w:cs="Arial"/>
            <w:sz w:val="20"/>
            <w:szCs w:val="20"/>
          </w:rPr>
          <w:t>Content Creator Copyright Agreement</w:t>
        </w:r>
        <w:r w:rsidR="00FA251F" w:rsidRPr="00456B61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 form </w:t>
        </w:r>
        <w:r w:rsidR="00846512" w:rsidRPr="00456B61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to support implementation of this policy </w:t>
        </w:r>
        <w:r w:rsidR="00FA251F" w:rsidRPr="00456B61">
          <w:rPr>
            <w:rStyle w:val="Hyperlink"/>
            <w:rFonts w:ascii="Arial" w:eastAsia="Times New Roman" w:hAnsi="Arial" w:cs="Arial"/>
            <w:sz w:val="20"/>
            <w:szCs w:val="20"/>
          </w:rPr>
          <w:t>is available on the BOC website</w:t>
        </w:r>
        <w:r w:rsidR="00A064EF" w:rsidRPr="00456B61">
          <w:rPr>
            <w:rStyle w:val="Hyperlink"/>
            <w:rFonts w:ascii="Arial" w:eastAsia="Times New Roman" w:hAnsi="Arial" w:cs="Arial"/>
            <w:sz w:val="20"/>
            <w:szCs w:val="20"/>
          </w:rPr>
          <w:t>.</w:t>
        </w:r>
      </w:hyperlink>
    </w:p>
    <w:p w14:paraId="52ABBB2E" w14:textId="544DC071" w:rsidR="00FA251F" w:rsidRPr="004F5EE2" w:rsidRDefault="00E34CE1" w:rsidP="00FA251F">
      <w:pPr>
        <w:numPr>
          <w:ilvl w:val="0"/>
          <w:numId w:val="3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Trademarked drugs, products or </w:t>
      </w:r>
      <w:r w:rsidR="007C5A32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proprietary 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techniques may be referenced when educationally necessary, provided the information is factual, balanced and non-promotional. </w:t>
      </w:r>
      <w:r w:rsidR="008F25C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When possible, </w:t>
      </w:r>
      <w:r w:rsidR="003A111B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using generic names is the </w:t>
      </w:r>
      <w:r w:rsidR="001A1659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best practice. </w:t>
      </w:r>
      <w:r w:rsidR="002F457C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2138C36E" w14:textId="77777777" w:rsidR="00FA251F" w:rsidRPr="004F5EE2" w:rsidRDefault="00FA251F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474BEA3" w14:textId="77777777" w:rsidR="006507EE" w:rsidRDefault="00670B4D" w:rsidP="00002A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Independence and Integrity Policy </w:t>
      </w:r>
      <w:r w:rsidR="00460DFB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460DFB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This policy describes how </w:t>
      </w:r>
      <w:r w:rsidR="00460DFB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[BOC Approved Provider Name]</w:t>
      </w:r>
      <w:r w:rsidR="00460DFB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identifies, reviews, mitigates, discloses and documents conflicts of interest to ensure the independence, objectivity and integrity of BOC-accredited continuing education activities. </w:t>
      </w:r>
      <w:r w:rsidR="00460DFB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18062B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FF3F72"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>Definition of Conflict of Interest</w:t>
      </w:r>
      <w:r w:rsidR="00FF3F72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403FEC" w:rsidRPr="004F5EE2">
        <w:rPr>
          <w:rFonts w:ascii="Arial" w:eastAsia="Times New Roman" w:hAnsi="Arial" w:cs="Arial"/>
          <w:color w:val="000000"/>
          <w:sz w:val="20"/>
          <w:szCs w:val="20"/>
        </w:rPr>
        <w:t>A c</w:t>
      </w:r>
      <w:r w:rsidR="00FF3F72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onflict of interest is a situation in which social, professional or financial considerations have the potential to compromise or bias objectivity. An apparent conflict of interest is one in which a reasonable person would think the provider’s objectivity is likely to be compromised. A conflict of interest exists whether or not decisions are affected by a personal </w:t>
      </w:r>
      <w:r w:rsidR="004F5162" w:rsidRPr="004F5EE2">
        <w:rPr>
          <w:rFonts w:ascii="Arial" w:eastAsia="Times New Roman" w:hAnsi="Arial" w:cs="Arial"/>
          <w:color w:val="000000"/>
          <w:sz w:val="20"/>
          <w:szCs w:val="20"/>
        </w:rPr>
        <w:t>benefit</w:t>
      </w:r>
      <w:r w:rsidR="00D86197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FF3F72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86197" w:rsidRPr="004F5EE2">
        <w:rPr>
          <w:rFonts w:ascii="Arial" w:eastAsia="Times New Roman" w:hAnsi="Arial" w:cs="Arial"/>
          <w:color w:val="000000"/>
          <w:sz w:val="20"/>
          <w:szCs w:val="20"/>
        </w:rPr>
        <w:t>A</w:t>
      </w:r>
      <w:r w:rsidR="00FF3F72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conflict of interest implies only the </w:t>
      </w:r>
      <w:r w:rsidR="00FF3F72"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t>potential</w:t>
      </w:r>
      <w:r w:rsidR="00FF3F72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for bias, not a likelihood.</w:t>
      </w:r>
      <w:r w:rsidR="00002ACB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58E4BABA" w14:textId="06004C1E" w:rsidR="00FF3F72" w:rsidRPr="004F5EE2" w:rsidRDefault="00002ACB" w:rsidP="00002AC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lastRenderedPageBreak/>
        <w:br/>
      </w:r>
      <w:r w:rsidR="005D2DC8"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>Independence and Commercial Influence</w:t>
      </w:r>
      <w:r w:rsidR="005D2DC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D2DC8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1235CE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[</w:t>
      </w: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BOC Approved Providers</w:t>
      </w:r>
      <w:r w:rsidR="001235CE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Name]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ensure</w:t>
      </w:r>
      <w:r w:rsidR="001235CE" w:rsidRPr="004F5EE2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that commercial support does not interfer</w:t>
      </w:r>
      <w:r w:rsidR="001235CE" w:rsidRPr="004F5EE2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8D34D6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>with the independence and objectivity of the activity and/or faculty. Programs cannot explicitly promote goods or services to the learners.</w:t>
      </w:r>
    </w:p>
    <w:p w14:paraId="74685AEE" w14:textId="77777777" w:rsidR="00FF3F72" w:rsidRPr="004F5EE2" w:rsidRDefault="00FF3F72" w:rsidP="0005362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</w:p>
    <w:p w14:paraId="1FFBD910" w14:textId="20A8D3F5" w:rsidR="00654805" w:rsidRPr="004F5EE2" w:rsidRDefault="0018062B" w:rsidP="0065480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COI </w:t>
      </w:r>
      <w:r w:rsidR="0076073E"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>Identification</w:t>
      </w:r>
      <w:r w:rsidR="0076073E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76073E"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>and Review</w:t>
      </w:r>
      <w:r w:rsidR="0076073E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61623D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FC5ECC" w:rsidRPr="004F5EE2">
        <w:rPr>
          <w:rFonts w:ascii="Arial" w:eastAsia="Times New Roman" w:hAnsi="Arial" w:cs="Arial"/>
          <w:b/>
          <w:bCs/>
          <w:sz w:val="20"/>
          <w:szCs w:val="20"/>
        </w:rPr>
        <w:t>[BOC Approved Provider Name]</w:t>
      </w:r>
      <w:r w:rsidR="00FC5ECC" w:rsidRPr="004F5EE2">
        <w:rPr>
          <w:rFonts w:ascii="Arial" w:eastAsia="Times New Roman" w:hAnsi="Arial" w:cs="Arial"/>
          <w:sz w:val="20"/>
          <w:szCs w:val="20"/>
        </w:rPr>
        <w:t xml:space="preserve"> </w:t>
      </w:r>
      <w:r w:rsidR="0061623D" w:rsidRPr="004F5EE2">
        <w:rPr>
          <w:rFonts w:ascii="Arial" w:eastAsia="Times New Roman" w:hAnsi="Arial" w:cs="Arial"/>
          <w:sz w:val="20"/>
          <w:szCs w:val="20"/>
        </w:rPr>
        <w:t>ensure</w:t>
      </w:r>
      <w:r w:rsidR="00FC5ECC" w:rsidRPr="004F5EE2">
        <w:rPr>
          <w:rFonts w:ascii="Arial" w:eastAsia="Times New Roman" w:hAnsi="Arial" w:cs="Arial"/>
          <w:sz w:val="20"/>
          <w:szCs w:val="20"/>
        </w:rPr>
        <w:t>s</w:t>
      </w:r>
      <w:r w:rsidR="0061623D" w:rsidRPr="004F5EE2">
        <w:rPr>
          <w:rFonts w:ascii="Arial" w:eastAsia="Times New Roman" w:hAnsi="Arial" w:cs="Arial"/>
          <w:sz w:val="20"/>
          <w:szCs w:val="20"/>
        </w:rPr>
        <w:t xml:space="preserve"> that </w:t>
      </w:r>
      <w:r w:rsidR="00960371" w:rsidRPr="004F5EE2">
        <w:rPr>
          <w:rFonts w:ascii="Arial" w:eastAsia="Times New Roman" w:hAnsi="Arial" w:cs="Arial"/>
          <w:sz w:val="20"/>
          <w:szCs w:val="20"/>
        </w:rPr>
        <w:t xml:space="preserve">potential and actual </w:t>
      </w:r>
      <w:r w:rsidR="0061623D" w:rsidRPr="004F5EE2">
        <w:rPr>
          <w:rFonts w:ascii="Arial" w:eastAsia="Times New Roman" w:hAnsi="Arial" w:cs="Arial"/>
          <w:sz w:val="20"/>
          <w:szCs w:val="20"/>
        </w:rPr>
        <w:t xml:space="preserve">conflicts of interest (COI) are identified </w:t>
      </w:r>
      <w:r w:rsidR="00BA6EFF" w:rsidRPr="004F5EE2">
        <w:rPr>
          <w:rFonts w:ascii="Arial" w:eastAsia="Times New Roman" w:hAnsi="Arial" w:cs="Arial"/>
          <w:b/>
          <w:bCs/>
          <w:sz w:val="20"/>
          <w:szCs w:val="20"/>
        </w:rPr>
        <w:t>before</w:t>
      </w:r>
      <w:r w:rsidR="0061623D" w:rsidRPr="004F5EE2">
        <w:rPr>
          <w:rFonts w:ascii="Arial" w:eastAsia="Times New Roman" w:hAnsi="Arial" w:cs="Arial"/>
          <w:sz w:val="20"/>
          <w:szCs w:val="20"/>
        </w:rPr>
        <w:t xml:space="preserve"> designing accredited educational programs. Processes</w:t>
      </w:r>
      <w:r w:rsidR="00EA32A2" w:rsidRPr="004F5EE2">
        <w:rPr>
          <w:rFonts w:ascii="Arial" w:eastAsia="Times New Roman" w:hAnsi="Arial" w:cs="Arial"/>
          <w:sz w:val="20"/>
          <w:szCs w:val="20"/>
        </w:rPr>
        <w:t xml:space="preserve"> </w:t>
      </w:r>
      <w:r w:rsidR="00D54543" w:rsidRPr="004F5EE2">
        <w:rPr>
          <w:rFonts w:ascii="Arial" w:eastAsia="Times New Roman" w:hAnsi="Arial" w:cs="Arial"/>
          <w:sz w:val="20"/>
          <w:szCs w:val="20"/>
        </w:rPr>
        <w:t xml:space="preserve">are established </w:t>
      </w:r>
      <w:r w:rsidR="00017AC3" w:rsidRPr="004F5EE2">
        <w:rPr>
          <w:rFonts w:ascii="Arial" w:eastAsia="Times New Roman" w:hAnsi="Arial" w:cs="Arial"/>
          <w:sz w:val="20"/>
          <w:szCs w:val="20"/>
        </w:rPr>
        <w:t>to collect</w:t>
      </w:r>
      <w:r w:rsidR="0061623D" w:rsidRPr="004F5EE2">
        <w:rPr>
          <w:rFonts w:ascii="Arial" w:eastAsia="Times New Roman" w:hAnsi="Arial" w:cs="Arial"/>
          <w:sz w:val="20"/>
          <w:szCs w:val="20"/>
        </w:rPr>
        <w:t xml:space="preserve"> </w:t>
      </w:r>
      <w:r w:rsidR="00053620" w:rsidRPr="004F5EE2">
        <w:rPr>
          <w:rFonts w:ascii="Arial" w:eastAsia="Times New Roman" w:hAnsi="Arial" w:cs="Arial"/>
          <w:sz w:val="20"/>
          <w:szCs w:val="20"/>
        </w:rPr>
        <w:t xml:space="preserve">disclosures of any relevant financial relationships </w:t>
      </w:r>
      <w:r w:rsidR="00427407" w:rsidRPr="004F5EE2">
        <w:rPr>
          <w:rFonts w:ascii="Arial" w:eastAsia="Times New Roman" w:hAnsi="Arial" w:cs="Arial"/>
          <w:sz w:val="20"/>
          <w:szCs w:val="20"/>
        </w:rPr>
        <w:t xml:space="preserve">within the past two years </w:t>
      </w:r>
      <w:r w:rsidR="00053620" w:rsidRPr="004F5EE2">
        <w:rPr>
          <w:rFonts w:ascii="Arial" w:eastAsia="Times New Roman" w:hAnsi="Arial" w:cs="Arial"/>
          <w:sz w:val="20"/>
          <w:szCs w:val="20"/>
        </w:rPr>
        <w:t xml:space="preserve">involving individuals controlling or presenting educational </w:t>
      </w:r>
      <w:r w:rsidR="00F152FA" w:rsidRPr="004F5EE2">
        <w:rPr>
          <w:rFonts w:ascii="Arial" w:eastAsia="Times New Roman" w:hAnsi="Arial" w:cs="Arial"/>
          <w:sz w:val="20"/>
          <w:szCs w:val="20"/>
        </w:rPr>
        <w:t>content</w:t>
      </w:r>
      <w:r w:rsidR="00BA6EFF" w:rsidRPr="004F5EE2">
        <w:rPr>
          <w:rFonts w:ascii="Arial" w:eastAsia="Times New Roman" w:hAnsi="Arial" w:cs="Arial"/>
          <w:sz w:val="20"/>
          <w:szCs w:val="20"/>
        </w:rPr>
        <w:t>,</w:t>
      </w:r>
      <w:r w:rsidR="00053620" w:rsidRPr="004F5EE2">
        <w:rPr>
          <w:rFonts w:ascii="Arial" w:eastAsia="Times New Roman" w:hAnsi="Arial" w:cs="Arial"/>
          <w:sz w:val="20"/>
          <w:szCs w:val="20"/>
        </w:rPr>
        <w:t xml:space="preserve"> regardless of the amount.</w:t>
      </w:r>
      <w:r w:rsidR="00CE695F" w:rsidRPr="004F5EE2">
        <w:rPr>
          <w:rFonts w:ascii="Arial" w:eastAsia="Times New Roman" w:hAnsi="Arial" w:cs="Arial"/>
          <w:sz w:val="20"/>
          <w:szCs w:val="20"/>
        </w:rPr>
        <w:t xml:space="preserve"> This includes </w:t>
      </w:r>
      <w:r w:rsidR="008F466B" w:rsidRPr="004F5EE2">
        <w:rPr>
          <w:rFonts w:ascii="Arial" w:eastAsia="Times New Roman" w:hAnsi="Arial" w:cs="Arial"/>
          <w:sz w:val="20"/>
          <w:szCs w:val="20"/>
        </w:rPr>
        <w:t>staff members involved in content creation as well as any outsid</w:t>
      </w:r>
      <w:r w:rsidR="00600DBC" w:rsidRPr="004F5EE2">
        <w:rPr>
          <w:rFonts w:ascii="Arial" w:eastAsia="Times New Roman" w:hAnsi="Arial" w:cs="Arial"/>
          <w:sz w:val="20"/>
          <w:szCs w:val="20"/>
        </w:rPr>
        <w:t>e individual</w:t>
      </w:r>
      <w:r w:rsidR="00761726" w:rsidRPr="004F5EE2">
        <w:rPr>
          <w:rFonts w:ascii="Arial" w:eastAsia="Times New Roman" w:hAnsi="Arial" w:cs="Arial"/>
          <w:sz w:val="20"/>
          <w:szCs w:val="20"/>
        </w:rPr>
        <w:t>s</w:t>
      </w:r>
      <w:r w:rsidR="00600DBC" w:rsidRPr="004F5EE2">
        <w:rPr>
          <w:rFonts w:ascii="Arial" w:eastAsia="Times New Roman" w:hAnsi="Arial" w:cs="Arial"/>
          <w:sz w:val="20"/>
          <w:szCs w:val="20"/>
        </w:rPr>
        <w:t xml:space="preserve"> (such as faculty, patient voice co-presenters, panelists, etc.</w:t>
      </w:r>
      <w:r w:rsidR="00761726" w:rsidRPr="004F5EE2">
        <w:rPr>
          <w:rFonts w:ascii="Arial" w:eastAsia="Times New Roman" w:hAnsi="Arial" w:cs="Arial"/>
          <w:sz w:val="20"/>
          <w:szCs w:val="20"/>
        </w:rPr>
        <w:t xml:space="preserve">). </w:t>
      </w:r>
      <w:r w:rsidR="00677C6B" w:rsidRPr="004F5EE2">
        <w:rPr>
          <w:rFonts w:ascii="Arial" w:eastAsia="Times New Roman" w:hAnsi="Arial" w:cs="Arial"/>
          <w:sz w:val="20"/>
          <w:szCs w:val="20"/>
        </w:rPr>
        <w:br/>
      </w:r>
      <w:r w:rsidR="00677C6B" w:rsidRPr="004F5EE2">
        <w:rPr>
          <w:rFonts w:ascii="Arial" w:eastAsia="Times New Roman" w:hAnsi="Arial" w:cs="Arial"/>
          <w:sz w:val="20"/>
          <w:szCs w:val="20"/>
        </w:rPr>
        <w:br/>
      </w:r>
      <w:r w:rsidR="005C7F25" w:rsidRPr="004F5EE2">
        <w:rPr>
          <w:rFonts w:ascii="Arial" w:eastAsia="Times New Roman" w:hAnsi="Arial" w:cs="Arial"/>
          <w:sz w:val="20"/>
          <w:szCs w:val="20"/>
        </w:rPr>
        <w:t xml:space="preserve">A Sample COI </w:t>
      </w:r>
      <w:r w:rsidR="002C1483" w:rsidRPr="004F5EE2">
        <w:rPr>
          <w:rFonts w:ascii="Arial" w:eastAsia="Times New Roman" w:hAnsi="Arial" w:cs="Arial"/>
          <w:sz w:val="20"/>
          <w:szCs w:val="20"/>
        </w:rPr>
        <w:t xml:space="preserve">form </w:t>
      </w:r>
      <w:r w:rsidR="00677C6B" w:rsidRPr="004F5EE2">
        <w:rPr>
          <w:rFonts w:ascii="Arial" w:eastAsia="Times New Roman" w:hAnsi="Arial" w:cs="Arial"/>
          <w:sz w:val="20"/>
          <w:szCs w:val="20"/>
        </w:rPr>
        <w:t xml:space="preserve">to support implementation of this policy is </w:t>
      </w:r>
      <w:hyperlink r:id="rId13" w:history="1">
        <w:r w:rsidR="00677C6B" w:rsidRPr="00273A90">
          <w:rPr>
            <w:rStyle w:val="Hyperlink"/>
            <w:rFonts w:ascii="Arial" w:eastAsia="Times New Roman" w:hAnsi="Arial" w:cs="Arial"/>
            <w:sz w:val="20"/>
            <w:szCs w:val="20"/>
          </w:rPr>
          <w:t>available</w:t>
        </w:r>
        <w:r w:rsidR="002C1483" w:rsidRPr="00273A90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 </w:t>
        </w:r>
        <w:r w:rsidR="00840B53">
          <w:rPr>
            <w:rStyle w:val="Hyperlink"/>
            <w:rFonts w:ascii="Arial" w:eastAsia="Times New Roman" w:hAnsi="Arial" w:cs="Arial"/>
            <w:sz w:val="20"/>
            <w:szCs w:val="20"/>
          </w:rPr>
          <w:t>on the BOC website.</w:t>
        </w:r>
      </w:hyperlink>
      <w:r w:rsidR="00654805" w:rsidRPr="004F5EE2">
        <w:rPr>
          <w:rFonts w:ascii="Arial" w:eastAsia="Times New Roman" w:hAnsi="Arial" w:cs="Arial"/>
          <w:sz w:val="20"/>
          <w:szCs w:val="20"/>
        </w:rPr>
        <w:br/>
      </w:r>
      <w:r w:rsidR="007F54E5" w:rsidRPr="004F5EE2">
        <w:rPr>
          <w:rFonts w:ascii="Arial" w:eastAsia="Times New Roman" w:hAnsi="Arial" w:cs="Arial"/>
          <w:color w:val="000000"/>
          <w:sz w:val="20"/>
          <w:szCs w:val="20"/>
        </w:rPr>
        <w:t>Collected disclosures are reviewed</w:t>
      </w:r>
      <w:r w:rsidR="00DF5F1A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to determine </w:t>
      </w:r>
      <w:r w:rsidR="00654805" w:rsidRPr="004F5EE2">
        <w:rPr>
          <w:rFonts w:ascii="Arial" w:eastAsia="Times New Roman" w:hAnsi="Arial" w:cs="Arial"/>
          <w:color w:val="000000"/>
          <w:sz w:val="20"/>
          <w:szCs w:val="20"/>
        </w:rPr>
        <w:t>the relevance of financial relationships</w:t>
      </w:r>
      <w:r w:rsidR="00DF5F1A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to </w:t>
      </w:r>
      <w:r w:rsidR="00F20076" w:rsidRPr="004F5EE2">
        <w:rPr>
          <w:rFonts w:ascii="Arial" w:eastAsia="Times New Roman" w:hAnsi="Arial" w:cs="Arial"/>
          <w:color w:val="000000"/>
          <w:sz w:val="20"/>
          <w:szCs w:val="20"/>
        </w:rPr>
        <w:t>educational</w:t>
      </w:r>
      <w:r w:rsidR="00DF5F1A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26325" w:rsidRPr="004F5EE2">
        <w:rPr>
          <w:rFonts w:ascii="Arial" w:eastAsia="Times New Roman" w:hAnsi="Arial" w:cs="Arial"/>
          <w:color w:val="000000"/>
          <w:sz w:val="20"/>
          <w:szCs w:val="20"/>
        </w:rPr>
        <w:t>content</w:t>
      </w:r>
      <w:r w:rsidR="00654805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926325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 financial relationship is considered </w:t>
      </w:r>
      <w:r w:rsidR="001975A8" w:rsidRPr="004F5EE2">
        <w:rPr>
          <w:rFonts w:ascii="Arial" w:eastAsia="Times New Roman" w:hAnsi="Arial" w:cs="Arial"/>
          <w:color w:val="000000"/>
          <w:sz w:val="20"/>
          <w:szCs w:val="20"/>
        </w:rPr>
        <w:t>r</w:t>
      </w:r>
      <w:r w:rsidR="00654805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elevant </w:t>
      </w:r>
      <w:r w:rsidR="003A50CE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when </w:t>
      </w:r>
      <w:r w:rsidR="00654805" w:rsidRPr="004F5EE2">
        <w:rPr>
          <w:rFonts w:ascii="Arial" w:eastAsia="Times New Roman" w:hAnsi="Arial" w:cs="Arial"/>
          <w:color w:val="000000"/>
          <w:sz w:val="20"/>
          <w:szCs w:val="20"/>
        </w:rPr>
        <w:t>the educational content pertains to the business income, products, services, etc. of a commercial entity.</w:t>
      </w:r>
      <w:r w:rsidR="002712B0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544D87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327208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[BOC Approved Provider Name]</w:t>
      </w:r>
      <w:r w:rsidR="0032720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uses COI review, record keeping, mitigation</w:t>
      </w:r>
      <w:r w:rsidR="00A71B6C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and COI disclosure to address all conflicts of interes</w:t>
      </w:r>
      <w:r w:rsidR="0038349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 and comply with the BOC Approved Provider Standards. </w:t>
      </w:r>
      <w:r w:rsidR="00AD42C7" w:rsidRPr="004F5EE2">
        <w:rPr>
          <w:rFonts w:ascii="Arial" w:eastAsia="Times New Roman" w:hAnsi="Arial" w:cs="Arial"/>
          <w:color w:val="000000"/>
          <w:sz w:val="20"/>
          <w:szCs w:val="20"/>
        </w:rPr>
        <w:t>If individuals in a position of control over content c</w:t>
      </w:r>
      <w:r w:rsidR="00092CA0" w:rsidRPr="004F5EE2">
        <w:rPr>
          <w:rFonts w:ascii="Arial" w:eastAsia="Times New Roman" w:hAnsi="Arial" w:cs="Arial"/>
          <w:color w:val="000000"/>
          <w:sz w:val="20"/>
          <w:szCs w:val="20"/>
        </w:rPr>
        <w:t>reation</w:t>
      </w:r>
      <w:r w:rsidR="007D7A9B" w:rsidRPr="004F5EE2">
        <w:rPr>
          <w:rFonts w:ascii="Arial" w:eastAsia="Times New Roman" w:hAnsi="Arial" w:cs="Arial"/>
          <w:color w:val="000000"/>
          <w:sz w:val="20"/>
          <w:szCs w:val="20"/>
        </w:rPr>
        <w:t>, management,</w:t>
      </w:r>
      <w:r w:rsidR="00092CA0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and/or delivery refuse to disclose financial relationships to </w:t>
      </w:r>
      <w:r w:rsidR="00092CA0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[BOC Approved Provider Name]</w:t>
      </w:r>
      <w:r w:rsidR="00E05641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 w:rsidR="00E05641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they will be automatically disqualified from any role in planning, management, presentation or evaluation of BOC approved activities. </w:t>
      </w:r>
      <w:r w:rsidR="0038349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117E9ADC" w14:textId="6F52D339" w:rsidR="00284D52" w:rsidRPr="004F5EE2" w:rsidRDefault="00053620" w:rsidP="00284D5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sz w:val="20"/>
          <w:szCs w:val="20"/>
        </w:rPr>
        <w:br/>
      </w:r>
      <w:r w:rsidR="00284D52"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Examples of </w:t>
      </w:r>
      <w:r w:rsidR="00484476"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>C</w:t>
      </w:r>
      <w:r w:rsidR="00284D52"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onflict of </w:t>
      </w:r>
      <w:r w:rsidR="00484476"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>I</w:t>
      </w:r>
      <w:r w:rsidR="00284D52"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>nterest</w:t>
      </w:r>
      <w:r w:rsidR="00484476"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br/>
      </w:r>
      <w:r w:rsidR="00484476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Examples of COI include, but are not limited to: </w:t>
      </w:r>
    </w:p>
    <w:p w14:paraId="4107A33E" w14:textId="1162C1AD" w:rsidR="00284D52" w:rsidRPr="004F5EE2" w:rsidRDefault="00284D52" w:rsidP="00284D52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Health care providers and health care organizations pursuing private financial gain</w:t>
      </w:r>
      <w:r w:rsidR="00C3183A" w:rsidRPr="004F5EE2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which may compromise their professional responsibilities</w:t>
      </w:r>
    </w:p>
    <w:p w14:paraId="5D0E59A3" w14:textId="14ACB71B" w:rsidR="00284D52" w:rsidRPr="004F5EE2" w:rsidRDefault="00284D52" w:rsidP="00284D52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 BOC Approved Provider, faculty, or content creator is paid to promote </w:t>
      </w:r>
      <w:r w:rsidR="00C3183A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>use of products</w:t>
      </w:r>
    </w:p>
    <w:p w14:paraId="0C0603B4" w14:textId="774170D4" w:rsidR="00FD7230" w:rsidRPr="004F5EE2" w:rsidRDefault="00284D52" w:rsidP="00284D52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A faculty or content creator cites research owned by a business in which they or a family member holds a financial interest</w:t>
      </w:r>
    </w:p>
    <w:p w14:paraId="19AE2622" w14:textId="24927D9D" w:rsidR="00FA251F" w:rsidRPr="004F5EE2" w:rsidRDefault="00284D52" w:rsidP="00692F67">
      <w:pPr>
        <w:numPr>
          <w:ilvl w:val="0"/>
          <w:numId w:val="42"/>
        </w:num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A sponsor pays the BOC Approved Provider to promote their products</w:t>
      </w:r>
    </w:p>
    <w:p w14:paraId="1CCD16D5" w14:textId="77777777" w:rsidR="008A6F6E" w:rsidRPr="004F5EE2" w:rsidRDefault="009C6406" w:rsidP="00FA251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45C49936" w14:textId="69DD7045" w:rsidR="006507EE" w:rsidRDefault="00732F9D" w:rsidP="46178EB4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46178EB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COI Record Keeping</w:t>
      </w:r>
      <w:r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br/>
      </w:r>
      <w:r w:rsidR="00705E0B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</w:t>
      </w:r>
      <w:r w:rsidR="00092878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BOC Approved Provider</w:t>
      </w:r>
      <w:r w:rsidR="00705E0B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Name]</w:t>
      </w:r>
      <w:r w:rsidR="00092878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092878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maintain</w:t>
      </w:r>
      <w:r w:rsidR="00705E0B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092878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COI disclosure records for a complete </w:t>
      </w:r>
      <w:r w:rsidR="00F152F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BOC Approved Provider A</w:t>
      </w:r>
      <w:r w:rsidR="00092878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ccreditation </w:t>
      </w:r>
      <w:r w:rsidR="00F152F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C</w:t>
      </w:r>
      <w:r w:rsidR="00092878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ycle. COI forms collect pertinent information regarding the nature of the relationship, the role the individual played in affecting the educational program(s) and other related details. </w:t>
      </w:r>
      <w:r>
        <w:br/>
      </w:r>
      <w:r>
        <w:br/>
      </w:r>
      <w:r w:rsidR="0018062B" w:rsidRPr="46178EB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COI Mitigation</w:t>
      </w:r>
      <w:r w:rsidR="0018062B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br/>
      </w:r>
      <w:r w:rsidR="00161276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Relevant financial relationships are mitigated, documented and in place</w:t>
      </w:r>
      <w:r w:rsidR="00161276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before</w:t>
      </w:r>
      <w:r w:rsidR="00161276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the design or delivery of education. </w:t>
      </w:r>
      <w:r w:rsidR="006F354D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If</w:t>
      </w:r>
      <w:r w:rsidR="009A559D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COIs are discovered </w:t>
      </w:r>
      <w:r w:rsidR="00E054EE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after</w:t>
      </w:r>
      <w:r w:rsidR="00E054EE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content has been created or delivered, mitigation and disclosure </w:t>
      </w:r>
      <w:r w:rsidR="00C3183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take</w:t>
      </w:r>
      <w:r w:rsidR="00E054EE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place.  </w:t>
      </w:r>
      <w:r w:rsidR="00161276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It may be necessary to adjust or remove </w:t>
      </w:r>
      <w:r w:rsidR="00C3183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certain individuals' roles to ensure the content remains free of</w:t>
      </w:r>
      <w:r w:rsidR="00161276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commercial bias.</w:t>
      </w:r>
      <w:r w:rsidR="00765768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br/>
      </w:r>
      <w:r>
        <w:br/>
      </w:r>
      <w:r w:rsidR="008F46D9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</w:t>
      </w:r>
      <w:r w:rsidR="00765768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BOC Approved </w:t>
      </w:r>
      <w:r w:rsidR="008F46D9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Provider Name]</w:t>
      </w:r>
      <w:r w:rsidR="00E960DA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4157F0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maintain</w:t>
      </w:r>
      <w:r w:rsidR="00765768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s</w:t>
      </w:r>
      <w:r w:rsidR="004157F0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E960D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processes to ident</w:t>
      </w:r>
      <w:r w:rsidR="004157F0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ify</w:t>
      </w:r>
      <w:r w:rsidR="00E960D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potential bias</w:t>
      </w:r>
      <w:r w:rsidR="004157F0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, assess the relevance of disclosed</w:t>
      </w:r>
      <w:r w:rsidR="00765768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/discovered</w:t>
      </w:r>
      <w:r w:rsidR="004157F0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relationships and implement appropriate </w:t>
      </w:r>
      <w:r w:rsidR="00971BB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mitigation</w:t>
      </w:r>
      <w:r w:rsidR="004157F0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stra</w:t>
      </w:r>
      <w:r w:rsidR="00971BB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tegies. Actions are selected based on the nature of the relationship, the individual’s role and the potential impact on educational content. </w:t>
      </w:r>
      <w:r>
        <w:br/>
      </w:r>
      <w:r>
        <w:br/>
      </w:r>
      <w:r w:rsidR="00971BB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Mitigation strategies may include </w:t>
      </w:r>
      <w:r w:rsidR="00042DF3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strategies such as (but not limited to), </w:t>
      </w:r>
      <w:r w:rsidR="00971BB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peer review, content revision, balancing perspectives, limiting contributors</w:t>
      </w:r>
      <w:r w:rsidR="00C3183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’</w:t>
      </w:r>
      <w:r w:rsidR="00971BB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roles, replacing contributors or issuing corrections. </w:t>
      </w:r>
      <w:hyperlink r:id="rId14" w:history="1">
        <w:r w:rsidR="00C3183A" w:rsidRPr="00840B53">
          <w:rPr>
            <w:rStyle w:val="Hyperlink"/>
            <w:rFonts w:ascii="Arial" w:eastAsia="Times New Roman" w:hAnsi="Arial" w:cs="Arial"/>
            <w:sz w:val="20"/>
            <w:szCs w:val="20"/>
          </w:rPr>
          <w:t>A sample</w:t>
        </w:r>
        <w:r w:rsidR="004154AA" w:rsidRPr="00840B53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 mitigation </w:t>
        </w:r>
        <w:r w:rsidR="006B3AE7" w:rsidRPr="00840B53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worksheet </w:t>
        </w:r>
        <w:r w:rsidR="000F04B7" w:rsidRPr="00840B53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for implementation purposes is available </w:t>
        </w:r>
        <w:r w:rsidR="00ED464A" w:rsidRPr="00840B53">
          <w:rPr>
            <w:rStyle w:val="Hyperlink"/>
            <w:rFonts w:ascii="Arial" w:eastAsia="Times New Roman" w:hAnsi="Arial" w:cs="Arial"/>
            <w:sz w:val="20"/>
            <w:szCs w:val="20"/>
          </w:rPr>
          <w:t>on the BOC website</w:t>
        </w:r>
        <w:r w:rsidR="00840B53" w:rsidRPr="00840B53">
          <w:rPr>
            <w:rStyle w:val="Hyperlink"/>
            <w:rFonts w:ascii="Arial" w:eastAsia="Times New Roman" w:hAnsi="Arial" w:cs="Arial"/>
            <w:sz w:val="20"/>
            <w:szCs w:val="20"/>
          </w:rPr>
          <w:t>.</w:t>
        </w:r>
      </w:hyperlink>
    </w:p>
    <w:p w14:paraId="014CEF9A" w14:textId="4CA1ACAD" w:rsidR="00FA251F" w:rsidRPr="004F5EE2" w:rsidRDefault="00183C36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br/>
      </w:r>
      <w:r>
        <w:br/>
      </w:r>
      <w:r w:rsidRPr="46178EB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lastRenderedPageBreak/>
        <w:t>COI Disclosure</w:t>
      </w:r>
      <w:r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br/>
      </w:r>
      <w:r w:rsidR="000F04B7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="00E95E3D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ll relevant financial relationships</w:t>
      </w:r>
      <w:r w:rsidR="00262F24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="00E95E3D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conflicts of interest or the lack thereof, </w:t>
      </w:r>
      <w:r w:rsidR="00262F24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must be disclosed </w:t>
      </w:r>
      <w:r w:rsidR="00E95E3D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to learners </w:t>
      </w:r>
      <w:r w:rsidR="00E95E3D" w:rsidRPr="46178EB4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>before</w:t>
      </w:r>
      <w:r w:rsidR="00E95E3D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C5527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content is delivered</w:t>
      </w:r>
      <w:r w:rsidR="00E95E3D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. All BOC accredited programming requires a COI disclosure statement at the beginning of any provided educational</w:t>
      </w:r>
      <w:r w:rsidR="008E0DF7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activities</w:t>
      </w:r>
      <w:r w:rsidR="00E95E3D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="00AC5527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hyperlink r:id="rId15" w:history="1">
        <w:r w:rsidR="00AC5527" w:rsidRPr="00935FE5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A sample </w:t>
        </w:r>
        <w:r w:rsidR="00025C00" w:rsidRPr="00935FE5">
          <w:rPr>
            <w:rStyle w:val="Hyperlink"/>
            <w:rFonts w:ascii="Arial" w:eastAsia="Times New Roman" w:hAnsi="Arial" w:cs="Arial"/>
            <w:sz w:val="20"/>
            <w:szCs w:val="20"/>
          </w:rPr>
          <w:t>disclosure statement is available for implementation purposes on the BOC website</w:t>
        </w:r>
        <w:r w:rsidR="00935FE5" w:rsidRPr="00935FE5">
          <w:rPr>
            <w:rStyle w:val="Hyperlink"/>
            <w:rFonts w:ascii="Arial" w:eastAsia="Times New Roman" w:hAnsi="Arial" w:cs="Arial"/>
            <w:sz w:val="20"/>
            <w:szCs w:val="20"/>
          </w:rPr>
          <w:t>.</w:t>
        </w:r>
      </w:hyperlink>
      <w:r>
        <w:br/>
      </w:r>
      <w:r>
        <w:br/>
      </w:r>
      <w:r w:rsidR="00046822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Registration Fees</w:t>
      </w:r>
      <w:r w:rsidR="00A30A4B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and </w:t>
      </w:r>
      <w:r w:rsidR="00FA251F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Cancellation/Refund Policy</w:t>
      </w:r>
    </w:p>
    <w:p w14:paraId="2B84C35A" w14:textId="571359A0" w:rsidR="0085319F" w:rsidRPr="004F5EE2" w:rsidRDefault="00A30A4B" w:rsidP="00692F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[BOC Approved Provider Name]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requires that any continuing education program </w:t>
      </w:r>
      <w:r w:rsidR="009B1D7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that includes a registration fee </w:t>
      </w:r>
      <w:r w:rsidR="00355B69" w:rsidRPr="004F5EE2">
        <w:rPr>
          <w:rFonts w:ascii="Arial" w:eastAsia="Times New Roman" w:hAnsi="Arial" w:cs="Arial"/>
          <w:color w:val="000000"/>
          <w:sz w:val="20"/>
          <w:szCs w:val="20"/>
        </w:rPr>
        <w:t>have</w:t>
      </w:r>
      <w:r w:rsidR="009B1D7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a clearly defined cancellation and refund policy. The terms of the cancellation and refund policy are determined by [BOC Approved Provider Name] and are communicated to potential participants in advance</w:t>
      </w:r>
      <w:r w:rsidR="005A5C0F" w:rsidRPr="004F5EE2">
        <w:rPr>
          <w:rFonts w:ascii="Arial" w:eastAsia="Times New Roman" w:hAnsi="Arial" w:cs="Arial"/>
          <w:color w:val="000000"/>
          <w:sz w:val="20"/>
          <w:szCs w:val="20"/>
        </w:rPr>
        <w:t>, including:</w:t>
      </w:r>
    </w:p>
    <w:p w14:paraId="7F30C8BB" w14:textId="0EA86381" w:rsidR="0085319F" w:rsidRPr="004F5EE2" w:rsidRDefault="007F4DCA" w:rsidP="00692F67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A clear</w:t>
      </w:r>
      <w:r w:rsidR="009B1D7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disclos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>ure of cancellation and refund policies</w:t>
      </w:r>
      <w:r w:rsidR="009B1D7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in promotional materials and during the registration process for fee-based programs</w:t>
      </w:r>
      <w:r w:rsidR="005A5C0F" w:rsidRPr="004F5EE2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14:paraId="6B77FC46" w14:textId="2E89D359" w:rsidR="00FA251F" w:rsidRPr="004F5EE2" w:rsidRDefault="00BA7203" w:rsidP="00692F67">
      <w:pPr>
        <w:pStyle w:val="ListParagraph"/>
        <w:numPr>
          <w:ilvl w:val="0"/>
          <w:numId w:val="4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 clear notice if programs are </w:t>
      </w:r>
      <w:r w:rsidR="009B1D78" w:rsidRPr="004F5EE2">
        <w:rPr>
          <w:rFonts w:ascii="Arial" w:eastAsia="Times New Roman" w:hAnsi="Arial" w:cs="Arial"/>
          <w:color w:val="000000"/>
          <w:sz w:val="20"/>
          <w:szCs w:val="20"/>
        </w:rPr>
        <w:t>offered at no cos</w:t>
      </w:r>
      <w:r w:rsidR="008169ED" w:rsidRPr="004F5EE2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9B1D7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. Free programs </w:t>
      </w:r>
      <w:r w:rsidR="008169ED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are not required to include a cancellation or refund policy. </w:t>
      </w:r>
      <w:r w:rsidR="009B1D78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505CDF49" w14:textId="670F8E0B" w:rsidR="00B20510" w:rsidRPr="004F5EE2" w:rsidRDefault="00FA251F" w:rsidP="00FA251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Joint </w:t>
      </w:r>
      <w:proofErr w:type="spellStart"/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Providership</w:t>
      </w:r>
      <w:proofErr w:type="spellEnd"/>
      <w:r w:rsidR="00E70925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Policy</w:t>
      </w:r>
    </w:p>
    <w:p w14:paraId="09A57489" w14:textId="1EC8BF96" w:rsidR="008A6F6E" w:rsidRPr="004F5EE2" w:rsidRDefault="00B20510" w:rsidP="00692F67">
      <w:pPr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4F5EE2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[BOC Approved Provider Name]</w:t>
      </w:r>
      <w:r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87516A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establishes its approach to Joint </w:t>
      </w:r>
      <w:proofErr w:type="spellStart"/>
      <w:r w:rsidR="0087516A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>Providership</w:t>
      </w:r>
      <w:proofErr w:type="spellEnd"/>
      <w:r w:rsidR="0087516A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and maintains documentation, communication and oversight responsibilities necessary to ensure compliance with BOC Approved Provider Standards.</w:t>
      </w:r>
      <w:r w:rsidR="005B6B4E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5B6B4E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r w:rsidR="005B6B4E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[BOC Approved Provider Name] may change its Joint </w:t>
      </w:r>
      <w:proofErr w:type="spellStart"/>
      <w:r w:rsidR="005B6B4E" w:rsidRPr="004F5EE2">
        <w:rPr>
          <w:rFonts w:ascii="Arial" w:eastAsia="Times New Roman" w:hAnsi="Arial" w:cs="Arial"/>
          <w:color w:val="000000"/>
          <w:sz w:val="20"/>
          <w:szCs w:val="20"/>
        </w:rPr>
        <w:t>Providership</w:t>
      </w:r>
      <w:proofErr w:type="spellEnd"/>
      <w:r w:rsidR="005B6B4E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status at any time. </w:t>
      </w:r>
      <w:r w:rsidR="00857DD8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The organization’s status as </w:t>
      </w:r>
      <w:r w:rsidR="0035033D" w:rsidRPr="004F5EE2">
        <w:rPr>
          <w:rFonts w:ascii="Arial" w:eastAsia="Times New Roman" w:hAnsi="Arial" w:cs="Arial"/>
          <w:color w:val="000000"/>
          <w:sz w:val="20"/>
          <w:szCs w:val="20"/>
        </w:rPr>
        <w:t>a Joint Provider or non-Joint Provider</w:t>
      </w:r>
      <w:r w:rsidR="005B6B4E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documented in this Operations Manual and communicated to those involved in CE planning and administration.</w:t>
      </w:r>
    </w:p>
    <w:p w14:paraId="5058E16E" w14:textId="1A137A8E" w:rsidR="006507EE" w:rsidRDefault="007E4B8F" w:rsidP="46178EB4">
      <w:pPr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46178EB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Definition of Joint </w:t>
      </w:r>
      <w:proofErr w:type="spellStart"/>
      <w:r w:rsidRPr="46178EB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Providership</w:t>
      </w:r>
      <w:proofErr w:type="spellEnd"/>
      <w:r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br/>
      </w:r>
      <w:r w:rsidR="00AF1ED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Joint </w:t>
      </w:r>
      <w:proofErr w:type="spellStart"/>
      <w:r w:rsidR="00AF1ED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providership</w:t>
      </w:r>
      <w:proofErr w:type="spellEnd"/>
      <w:r w:rsidR="00AF1ED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occurs when at least one approved and one non-approved continuing education provider </w:t>
      </w:r>
      <w:r w:rsidR="005A5C0F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collaborates</w:t>
      </w:r>
      <w:r w:rsidR="00AF1ED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to offer a CE program. When the CE program is developed or presented with another party, the BOC Approved Provider is engaging in “joint </w:t>
      </w:r>
      <w:proofErr w:type="spellStart"/>
      <w:r w:rsidR="00AF1ED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providership</w:t>
      </w:r>
      <w:proofErr w:type="spellEnd"/>
      <w:r w:rsidR="00AF1ED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”.</w:t>
      </w:r>
      <w:r>
        <w:br/>
      </w:r>
      <w:r>
        <w:br/>
      </w:r>
      <w:r w:rsidR="00A04A71" w:rsidRPr="46178EB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Joint </w:t>
      </w:r>
      <w:proofErr w:type="spellStart"/>
      <w:r w:rsidR="00A04A71" w:rsidRPr="46178EB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Providership</w:t>
      </w:r>
      <w:proofErr w:type="spellEnd"/>
      <w:r w:rsidR="00A04A71" w:rsidRPr="46178EB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 xml:space="preserve"> Status</w:t>
      </w:r>
      <w:r w:rsidR="00A04A7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A04A71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[Select one and Delete the Other]</w:t>
      </w:r>
      <w:r>
        <w:br/>
      </w:r>
      <w:r w:rsidR="006B7D51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[Option A]</w:t>
      </w:r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5A5C0F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Non-Engagement</w:t>
      </w:r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Joint </w:t>
      </w:r>
      <w:proofErr w:type="spellStart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Providership</w:t>
      </w:r>
      <w:proofErr w:type="spellEnd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>
        <w:br/>
      </w:r>
      <w:r w:rsidR="006B7D51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[BOC Approved Provider Name]</w:t>
      </w:r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does NOT engage in Joint </w:t>
      </w:r>
      <w:proofErr w:type="spellStart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Providership</w:t>
      </w:r>
      <w:proofErr w:type="spellEnd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. All continuing education activities offered by </w:t>
      </w:r>
      <w:r w:rsidR="006B7D51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[BOC Approved Provider Name] </w:t>
      </w:r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are planned, implemented and evaluated solely by the organization without collaboration with non-approved providers. </w:t>
      </w:r>
      <w:r>
        <w:br/>
      </w:r>
      <w:r w:rsidR="006B7D51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</w:t>
      </w:r>
      <w:r>
        <w:br/>
      </w:r>
      <w:r w:rsidR="006B7D51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[Option B]</w:t>
      </w:r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Engagement in Joint </w:t>
      </w:r>
      <w:proofErr w:type="spellStart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Providership</w:t>
      </w:r>
      <w:proofErr w:type="spellEnd"/>
      <w:r>
        <w:br/>
      </w:r>
      <w:r w:rsidR="006B7D51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[BOC Approved Provider Name] </w:t>
      </w:r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engages in Joint </w:t>
      </w:r>
      <w:proofErr w:type="spellStart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Providership</w:t>
      </w:r>
      <w:proofErr w:type="spellEnd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when collaborating with non-approved organizations to plan, develop or deliver continuing education activities. When participating in Joint </w:t>
      </w:r>
      <w:proofErr w:type="spellStart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Providership</w:t>
      </w:r>
      <w:proofErr w:type="spellEnd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="006B7D51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[BOC Approved Provider Name] </w:t>
      </w:r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retains responsibility for compliance with all BOC Approved Provider Standards and requirements.</w:t>
      </w:r>
      <w:r>
        <w:br/>
      </w:r>
      <w:r>
        <w:br/>
      </w:r>
      <w:r w:rsidR="00C0597D" w:rsidRPr="46178EB4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BOC Approved Provider Responsibility</w:t>
      </w:r>
      <w:r w:rsidR="00C0597D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F03ABC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[for Option B]</w:t>
      </w:r>
      <w:r>
        <w:br/>
      </w:r>
      <w:r>
        <w:br/>
      </w:r>
      <w:r w:rsidR="0040580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When participating in Joint </w:t>
      </w:r>
      <w:proofErr w:type="spellStart"/>
      <w:r w:rsidR="0040580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Providership</w:t>
      </w:r>
      <w:proofErr w:type="spellEnd"/>
      <w:r w:rsidR="0040580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</w:t>
      </w:r>
      <w:r w:rsidR="0040580A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[BOC Approved Provider Name]</w:t>
      </w:r>
      <w:r w:rsidR="0040580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retains full responsibility for ensuring that the jointly provided activity meets all BOC Approved Provider Standards and requirements. </w:t>
      </w:r>
      <w:r w:rsidR="00704536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[BOC Approved Provider Name] </w:t>
      </w:r>
      <w:r w:rsidR="00704536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also</w:t>
      </w:r>
      <w:r w:rsidR="00F03ABC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approves all educational content and factors associated with the delivery and reporting tied to the accredited CE activity. </w:t>
      </w:r>
      <w:r>
        <w:br/>
      </w:r>
      <w:r>
        <w:br/>
      </w:r>
      <w:r w:rsidR="009E6A45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When a </w:t>
      </w:r>
      <w:r w:rsidR="007372E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jointly provided activity is planned, </w:t>
      </w:r>
      <w:r w:rsidR="007372EA" w:rsidRPr="46178EB4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[BOC Approved Provider Name]</w:t>
      </w:r>
      <w:r w:rsidR="007372E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will provide a</w:t>
      </w:r>
      <w:r w:rsidR="0040580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documented </w:t>
      </w:r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Joint </w:t>
      </w:r>
      <w:proofErr w:type="spellStart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>Providership</w:t>
      </w:r>
      <w:proofErr w:type="spellEnd"/>
      <w:r w:rsidR="006B7D51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40580A" w:rsidRPr="46178EB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agreement that clearly outlines which party is responsible for each task involved in planning, implementing and reporting a compliant CE program. </w:t>
      </w:r>
      <w:r>
        <w:br/>
      </w:r>
      <w:r>
        <w:br/>
      </w:r>
      <w:hyperlink r:id="rId16" w:history="1">
        <w:r w:rsidR="006B7D51" w:rsidRPr="00935FE5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A sample Joint </w:t>
        </w:r>
        <w:proofErr w:type="spellStart"/>
        <w:r w:rsidR="006B7D51" w:rsidRPr="00935FE5">
          <w:rPr>
            <w:rStyle w:val="Hyperlink"/>
            <w:rFonts w:ascii="Arial" w:eastAsia="Times New Roman" w:hAnsi="Arial" w:cs="Arial"/>
            <w:sz w:val="20"/>
            <w:szCs w:val="20"/>
          </w:rPr>
          <w:t>Providership</w:t>
        </w:r>
        <w:proofErr w:type="spellEnd"/>
        <w:r w:rsidR="006B7D51" w:rsidRPr="00935FE5">
          <w:rPr>
            <w:rStyle w:val="Hyperlink"/>
            <w:rFonts w:ascii="Arial" w:eastAsia="Times New Roman" w:hAnsi="Arial" w:cs="Arial"/>
            <w:sz w:val="20"/>
            <w:szCs w:val="20"/>
          </w:rPr>
          <w:t xml:space="preserve"> Agreement template to support implementation of this policy is available</w:t>
        </w:r>
        <w:r w:rsidR="00935FE5" w:rsidRPr="00935FE5">
          <w:rPr>
            <w:rStyle w:val="Hyperlink"/>
            <w:rFonts w:ascii="Arial" w:eastAsia="Times New Roman" w:hAnsi="Arial" w:cs="Arial"/>
            <w:sz w:val="20"/>
            <w:szCs w:val="20"/>
          </w:rPr>
          <w:t>.</w:t>
        </w:r>
      </w:hyperlink>
    </w:p>
    <w:p w14:paraId="1537C4FA" w14:textId="7CCD0D40" w:rsidR="0042193E" w:rsidRPr="004F5EE2" w:rsidRDefault="00946C0C" w:rsidP="00692F67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4F5EE2">
        <w:rPr>
          <w:rFonts w:ascii="Arial" w:hAnsi="Arial" w:cs="Arial"/>
          <w:color w:val="000000"/>
          <w:sz w:val="20"/>
          <w:szCs w:val="20"/>
          <w:u w:val="single"/>
        </w:rPr>
        <w:lastRenderedPageBreak/>
        <w:t xml:space="preserve">Required Identification Statement </w:t>
      </w:r>
    </w:p>
    <w:p w14:paraId="00AA581D" w14:textId="057515CD" w:rsidR="00FA251F" w:rsidRPr="004F5EE2" w:rsidRDefault="00946C0C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For </w:t>
      </w:r>
      <w:r w:rsidR="007B55D4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jointly provided programs, the </w:t>
      </w:r>
      <w:r w:rsidR="00FA251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following statement </w:t>
      </w:r>
      <w:r w:rsidR="007B55D4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is used </w:t>
      </w:r>
      <w:r w:rsidR="00FA251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to identify </w:t>
      </w:r>
      <w:r w:rsidR="007B55D4" w:rsidRPr="004F5EE2">
        <w:rPr>
          <w:rFonts w:ascii="Arial" w:eastAsia="Times New Roman" w:hAnsi="Arial" w:cs="Arial"/>
          <w:color w:val="000000"/>
          <w:sz w:val="20"/>
          <w:szCs w:val="20"/>
        </w:rPr>
        <w:t>the activity</w:t>
      </w:r>
      <w:r w:rsidR="00FA251F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as a BOC Approved Provider </w:t>
      </w:r>
      <w:r w:rsidR="007B55D4" w:rsidRPr="004F5EE2"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FA251F" w:rsidRPr="004F5EE2">
        <w:rPr>
          <w:rFonts w:ascii="Arial" w:eastAsia="Times New Roman" w:hAnsi="Arial" w:cs="Arial"/>
          <w:color w:val="000000"/>
          <w:sz w:val="20"/>
          <w:szCs w:val="20"/>
        </w:rPr>
        <w:t>rogram:</w:t>
      </w:r>
    </w:p>
    <w:p w14:paraId="22030BF5" w14:textId="77777777" w:rsidR="00FA251F" w:rsidRPr="004F5EE2" w:rsidRDefault="00FA251F" w:rsidP="00FA251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023380D" w14:textId="48327486" w:rsidR="00391A62" w:rsidRPr="004F5EE2" w:rsidRDefault="00FA251F" w:rsidP="008125F4">
      <w:pPr>
        <w:spacing w:after="0" w:line="240" w:lineRule="auto"/>
        <w:ind w:left="720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This program has been planned and implemented in accordance with the requirements and policies of the Board of Certification for the Athletic Trainer (BOC) through the joint </w:t>
      </w:r>
      <w:proofErr w:type="spellStart"/>
      <w:r w:rsidR="009964D8"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t>providership</w:t>
      </w:r>
      <w:proofErr w:type="spellEnd"/>
      <w:r w:rsidR="009964D8"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of </w:t>
      </w:r>
      <w:r w:rsidR="007B55D4" w:rsidRPr="004F5EE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[BOC Approved Provider Name] </w:t>
      </w:r>
      <w:r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and </w:t>
      </w:r>
      <w:r w:rsidRPr="004F5EE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(name of non-BOC approved provider).</w:t>
      </w:r>
      <w:r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  <w:r w:rsidR="007B55D4" w:rsidRPr="004F5EE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[N</w:t>
      </w:r>
      <w:r w:rsidRPr="004F5EE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ame Approved Provider</w:t>
      </w:r>
      <w:r w:rsidR="007B55D4" w:rsidRPr="004F5EE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 xml:space="preserve"> Name and BOC Approved Provider Number</w:t>
      </w:r>
      <w:r w:rsidR="007B55D4"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t>]</w:t>
      </w:r>
      <w:r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is approved by the BOC to provide continuing education for Athletic Trainers</w:t>
      </w:r>
      <w:r w:rsidR="009964D8"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. </w:t>
      </w:r>
      <w:r w:rsidR="005511E8" w:rsidRPr="004F5EE2">
        <w:rPr>
          <w:rFonts w:ascii="Arial" w:eastAsia="Times New Roman" w:hAnsi="Arial" w:cs="Arial"/>
          <w:i/>
          <w:iCs/>
          <w:color w:val="000000"/>
          <w:sz w:val="20"/>
          <w:szCs w:val="20"/>
        </w:rPr>
        <w:br/>
      </w:r>
    </w:p>
    <w:p w14:paraId="7B1BCD95" w14:textId="4AA2344D" w:rsidR="00391A62" w:rsidRPr="004F5EE2" w:rsidRDefault="00391A62" w:rsidP="00391A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Record Keeping</w:t>
      </w:r>
      <w:r w:rsidR="004C70E1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Policy</w:t>
      </w:r>
    </w:p>
    <w:p w14:paraId="22E1CAF7" w14:textId="27BD75E7" w:rsidR="00814847" w:rsidRPr="004F5EE2" w:rsidRDefault="004C70E1" w:rsidP="00206C1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Th</w:t>
      </w:r>
      <w:r w:rsidR="00206C10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e BOC Approved Provider </w:t>
      </w:r>
      <w:r w:rsidR="00AF05D3" w:rsidRPr="004F5EE2">
        <w:rPr>
          <w:rFonts w:ascii="Arial" w:eastAsia="Times New Roman" w:hAnsi="Arial" w:cs="Arial"/>
          <w:color w:val="000000"/>
          <w:sz w:val="20"/>
          <w:szCs w:val="20"/>
        </w:rPr>
        <w:t>must maintain accurate and cumulative records for each accreditation cycle (five years</w:t>
      </w:r>
      <w:r w:rsidR="00C86AB6" w:rsidRPr="004F5EE2">
        <w:rPr>
          <w:rFonts w:ascii="Arial" w:eastAsia="Times New Roman" w:hAnsi="Arial" w:cs="Arial"/>
          <w:color w:val="000000"/>
          <w:sz w:val="20"/>
          <w:szCs w:val="20"/>
        </w:rPr>
        <w:t>).</w:t>
      </w:r>
      <w:r w:rsidR="00AF05D3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All required records must be </w:t>
      </w:r>
      <w:r w:rsidR="0034646B" w:rsidRPr="004F5EE2">
        <w:rPr>
          <w:rFonts w:ascii="Arial" w:eastAsia="Times New Roman" w:hAnsi="Arial" w:cs="Arial"/>
          <w:color w:val="000000"/>
          <w:sz w:val="20"/>
          <w:szCs w:val="20"/>
        </w:rPr>
        <w:t>organized</w:t>
      </w:r>
      <w:r w:rsidR="00AF05D3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 and readily </w:t>
      </w:r>
      <w:r w:rsidR="0034646B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accessible to the BOC upon request. </w:t>
      </w:r>
      <w:r w:rsidR="0034646B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  <w:r w:rsidR="0034646B" w:rsidRPr="004F5EE2">
        <w:rPr>
          <w:rFonts w:ascii="Arial" w:eastAsia="Times New Roman" w:hAnsi="Arial" w:cs="Arial"/>
          <w:color w:val="000000"/>
          <w:sz w:val="20"/>
          <w:szCs w:val="20"/>
        </w:rPr>
        <w:br/>
        <w:t xml:space="preserve">BOC Approved Providers must retain the following for five years: </w:t>
      </w:r>
    </w:p>
    <w:p w14:paraId="7306F549" w14:textId="77777777" w:rsidR="00814847" w:rsidRPr="004F5EE2" w:rsidRDefault="00814847" w:rsidP="00814847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Roster of all learners who were awarded credit for each activity and copies of all CEU certificates issued</w:t>
      </w:r>
    </w:p>
    <w:p w14:paraId="7E75A53D" w14:textId="1F82BBDD" w:rsidR="00814847" w:rsidRPr="004F5EE2" w:rsidRDefault="00814847" w:rsidP="00814847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Roster of all activity content creators or presenters</w:t>
      </w:r>
    </w:p>
    <w:p w14:paraId="09AAF9AF" w14:textId="77777777" w:rsidR="0072766B" w:rsidRPr="004F5EE2" w:rsidRDefault="00814847" w:rsidP="0072766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BOC Approved Providers must also collect and retain the following activity-level data: </w:t>
      </w:r>
    </w:p>
    <w:p w14:paraId="1A6BB480" w14:textId="77777777" w:rsidR="0072766B" w:rsidRPr="004F5EE2" w:rsidRDefault="0072766B" w:rsidP="0072766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The number of CE activities/programs provided </w:t>
      </w:r>
    </w:p>
    <w:p w14:paraId="696083D4" w14:textId="77777777" w:rsidR="0072766B" w:rsidRPr="004F5EE2" w:rsidRDefault="0072766B" w:rsidP="0072766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Attendance totals for each activity, including the number of Athletic Trainers and other professionals </w:t>
      </w:r>
    </w:p>
    <w:p w14:paraId="081E173E" w14:textId="77777777" w:rsidR="00C86AB6" w:rsidRPr="004F5EE2" w:rsidRDefault="00C86AB6" w:rsidP="0072766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DB9BAB9" w14:textId="0DEF5BBF" w:rsidR="00997441" w:rsidRPr="004F5EE2" w:rsidRDefault="0072766B" w:rsidP="0072766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Annual Reporting Expectations </w:t>
      </w:r>
      <w:r w:rsidRPr="004F5EE2">
        <w:rPr>
          <w:rFonts w:ascii="Arial" w:eastAsia="Times New Roman" w:hAnsi="Arial" w:cs="Arial"/>
          <w:color w:val="000000"/>
          <w:sz w:val="20"/>
          <w:szCs w:val="20"/>
          <w:u w:val="single"/>
        </w:rPr>
        <w:br/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Each BOC Approved Provider must submit required data to the BOC through the Annual Report, including, but not limited to: </w:t>
      </w:r>
      <w:r w:rsidR="00814847" w:rsidRPr="004F5EE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193D0E45" w14:textId="77777777" w:rsidR="00997441" w:rsidRPr="004F5EE2" w:rsidRDefault="00997441" w:rsidP="00692F67">
      <w:pPr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a. Number of programs administered</w:t>
      </w:r>
    </w:p>
    <w:p w14:paraId="56593658" w14:textId="77777777" w:rsidR="00997441" w:rsidRPr="004F5EE2" w:rsidRDefault="00997441" w:rsidP="00692F67">
      <w:pPr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b. Number of total learners</w:t>
      </w:r>
    </w:p>
    <w:p w14:paraId="3786C089" w14:textId="77777777" w:rsidR="00997441" w:rsidRPr="004F5EE2" w:rsidRDefault="00997441" w:rsidP="00692F67">
      <w:pPr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c. Target audiences</w:t>
      </w:r>
    </w:p>
    <w:p w14:paraId="47951732" w14:textId="77777777" w:rsidR="00997441" w:rsidRPr="004F5EE2" w:rsidRDefault="00997441" w:rsidP="00692F67">
      <w:pPr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d. Joint Accreditation or other interprofessional collaborations</w:t>
      </w:r>
    </w:p>
    <w:p w14:paraId="3DA7A152" w14:textId="77777777" w:rsidR="00997441" w:rsidRPr="004F5EE2" w:rsidRDefault="00997441" w:rsidP="00692F67">
      <w:pPr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e. Reflections on the BOC Approved Provider’s quality improvements related to BOC standards</w:t>
      </w:r>
    </w:p>
    <w:p w14:paraId="56F02F12" w14:textId="0D6C4A6C" w:rsidR="00391A62" w:rsidRPr="004F5EE2" w:rsidRDefault="00997441" w:rsidP="00692F67">
      <w:pPr>
        <w:spacing w:after="0" w:line="240" w:lineRule="auto"/>
        <w:ind w:left="270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/>
          <w:sz w:val="20"/>
          <w:szCs w:val="20"/>
        </w:rPr>
        <w:t>f. Key contact/liaison for BOC Approved Provider status</w:t>
      </w:r>
      <w:r w:rsidRPr="004F5EE2">
        <w:rPr>
          <w:rFonts w:ascii="Arial" w:eastAsia="Times New Roman" w:hAnsi="Arial" w:cs="Arial"/>
          <w:color w:val="000000"/>
          <w:sz w:val="20"/>
          <w:szCs w:val="20"/>
        </w:rPr>
        <w:br/>
        <w:t>g. Conflict of Interest mitigations (if any)</w:t>
      </w:r>
    </w:p>
    <w:p w14:paraId="7CCCA233" w14:textId="51776926" w:rsidR="004C70E1" w:rsidRPr="004F5EE2" w:rsidRDefault="004C70E1" w:rsidP="00391A6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6D09C2EC" w14:textId="6CEFE18F" w:rsidR="004C70E1" w:rsidRPr="004F5EE2" w:rsidRDefault="0072766B" w:rsidP="00F00F3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BOC Approved Providers do NOT need to submit documentation immediately after each event.  </w:t>
      </w:r>
      <w:r w:rsidRPr="004F5EE2">
        <w:rPr>
          <w:rFonts w:ascii="Arial" w:hAnsi="Arial" w:cs="Arial"/>
          <w:sz w:val="20"/>
          <w:szCs w:val="20"/>
        </w:rPr>
        <w:br/>
      </w:r>
      <w:r w:rsidRPr="004F5EE2">
        <w:rPr>
          <w:rFonts w:ascii="Arial" w:hAnsi="Arial" w:cs="Arial"/>
          <w:sz w:val="20"/>
          <w:szCs w:val="20"/>
        </w:rPr>
        <w:br/>
      </w:r>
      <w:r w:rsidR="00A60FDC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>The BOC Approved Provider enters all CE programs offered to ATs into the program directory prior to the event.</w:t>
      </w:r>
      <w:r w:rsidR="00F00F3C" w:rsidRPr="004F5EE2">
        <w:rPr>
          <w:rFonts w:ascii="Arial" w:hAnsi="Arial" w:cs="Arial"/>
          <w:sz w:val="20"/>
          <w:szCs w:val="20"/>
        </w:rPr>
        <w:t xml:space="preserve"> </w:t>
      </w:r>
      <w:r w:rsidR="00F00F3C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>The BOC Approved Provider is responsible for inputting the necessary details for all programs</w:t>
      </w:r>
      <w:r w:rsidR="0042193E" w:rsidRPr="004F5EE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F00F3C" w:rsidRPr="004F5EE2">
        <w:rPr>
          <w:rFonts w:ascii="Arial" w:eastAsia="Times New Roman" w:hAnsi="Arial" w:cs="Arial"/>
          <w:color w:val="000000"/>
          <w:sz w:val="20"/>
          <w:szCs w:val="20"/>
        </w:rPr>
        <w:t xml:space="preserve">into the BOC program directory and maintaining the content as updates are made. (E.g. make sure contact information is provided, hyperlinks are active, titles are descriptive, content is posted in a timely manner, and changes and cancellations are immediately posted, etc.) </w:t>
      </w:r>
    </w:p>
    <w:p w14:paraId="678E7E5A" w14:textId="77777777" w:rsidR="00391A62" w:rsidRPr="004F5EE2" w:rsidRDefault="00391A62" w:rsidP="00391A6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D75F3A2" w14:textId="2CB9DFFC" w:rsidR="00391A62" w:rsidRPr="004F5EE2" w:rsidRDefault="00391A62" w:rsidP="00391A6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>Faculty Payment</w:t>
      </w:r>
      <w:r w:rsidR="004C70E1" w:rsidRPr="004F5EE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Policy</w:t>
      </w:r>
    </w:p>
    <w:p w14:paraId="48306EB4" w14:textId="11103309" w:rsidR="00FB7024" w:rsidRPr="004F5EE2" w:rsidRDefault="00A004EB" w:rsidP="00D51C07">
      <w:pPr>
        <w:spacing w:after="0" w:line="240" w:lineRule="auto"/>
        <w:rPr>
          <w:rFonts w:ascii="Arial" w:hAnsi="Arial" w:cs="Arial"/>
          <w:sz w:val="20"/>
          <w:szCs w:val="20"/>
        </w:rPr>
      </w:pPr>
      <w:r w:rsidRPr="46178EB4">
        <w:rPr>
          <w:rFonts w:ascii="Arial" w:hAnsi="Arial" w:cs="Arial"/>
          <w:sz w:val="20"/>
          <w:szCs w:val="20"/>
        </w:rPr>
        <w:t xml:space="preserve">This policy </w:t>
      </w:r>
      <w:r w:rsidR="00434053" w:rsidRPr="46178EB4">
        <w:rPr>
          <w:rFonts w:ascii="Arial" w:hAnsi="Arial" w:cs="Arial"/>
          <w:sz w:val="20"/>
          <w:szCs w:val="20"/>
        </w:rPr>
        <w:t>establishe</w:t>
      </w:r>
      <w:r w:rsidR="00194918" w:rsidRPr="46178EB4">
        <w:rPr>
          <w:rFonts w:ascii="Arial" w:hAnsi="Arial" w:cs="Arial"/>
          <w:sz w:val="20"/>
          <w:szCs w:val="20"/>
        </w:rPr>
        <w:t>s</w:t>
      </w:r>
      <w:r w:rsidR="00434053" w:rsidRPr="46178EB4">
        <w:rPr>
          <w:rFonts w:ascii="Arial" w:hAnsi="Arial" w:cs="Arial"/>
          <w:sz w:val="20"/>
          <w:szCs w:val="20"/>
        </w:rPr>
        <w:t xml:space="preserve"> consistent standards for providing </w:t>
      </w:r>
      <w:r w:rsidR="009C0A30" w:rsidRPr="46178EB4">
        <w:rPr>
          <w:rFonts w:ascii="Arial" w:hAnsi="Arial" w:cs="Arial"/>
          <w:sz w:val="20"/>
          <w:szCs w:val="20"/>
        </w:rPr>
        <w:t>h</w:t>
      </w:r>
      <w:r w:rsidR="00434053" w:rsidRPr="46178EB4">
        <w:rPr>
          <w:rFonts w:ascii="Arial" w:hAnsi="Arial" w:cs="Arial"/>
          <w:sz w:val="20"/>
          <w:szCs w:val="20"/>
        </w:rPr>
        <w:t>onor</w:t>
      </w:r>
      <w:r w:rsidR="009C0A30" w:rsidRPr="46178EB4">
        <w:rPr>
          <w:rFonts w:ascii="Arial" w:hAnsi="Arial" w:cs="Arial"/>
          <w:sz w:val="20"/>
          <w:szCs w:val="20"/>
        </w:rPr>
        <w:t>ar</w:t>
      </w:r>
      <w:r w:rsidR="00434053" w:rsidRPr="46178EB4">
        <w:rPr>
          <w:rFonts w:ascii="Arial" w:hAnsi="Arial" w:cs="Arial"/>
          <w:sz w:val="20"/>
          <w:szCs w:val="20"/>
        </w:rPr>
        <w:t>ia and expense reimbursement to</w:t>
      </w:r>
      <w:r w:rsidR="00664AC1" w:rsidRPr="46178EB4">
        <w:rPr>
          <w:rFonts w:ascii="Arial" w:hAnsi="Arial" w:cs="Arial"/>
          <w:sz w:val="20"/>
          <w:szCs w:val="20"/>
        </w:rPr>
        <w:t xml:space="preserve"> </w:t>
      </w:r>
      <w:r w:rsidRPr="46178EB4">
        <w:rPr>
          <w:rFonts w:ascii="Arial" w:hAnsi="Arial" w:cs="Arial"/>
          <w:sz w:val="20"/>
          <w:szCs w:val="20"/>
        </w:rPr>
        <w:t xml:space="preserve">individuals </w:t>
      </w:r>
      <w:r w:rsidR="00FA2951" w:rsidRPr="46178EB4">
        <w:rPr>
          <w:rFonts w:ascii="Arial" w:hAnsi="Arial" w:cs="Arial"/>
          <w:sz w:val="20"/>
          <w:szCs w:val="20"/>
        </w:rPr>
        <w:t xml:space="preserve">(as applicable) </w:t>
      </w:r>
      <w:r w:rsidRPr="46178EB4">
        <w:rPr>
          <w:rFonts w:ascii="Arial" w:hAnsi="Arial" w:cs="Arial"/>
          <w:sz w:val="20"/>
          <w:szCs w:val="20"/>
        </w:rPr>
        <w:t xml:space="preserve">who serve as faculty, </w:t>
      </w:r>
      <w:r w:rsidR="00194918" w:rsidRPr="46178EB4">
        <w:rPr>
          <w:rFonts w:ascii="Arial" w:hAnsi="Arial" w:cs="Arial"/>
          <w:sz w:val="20"/>
          <w:szCs w:val="20"/>
        </w:rPr>
        <w:t xml:space="preserve">content creators, </w:t>
      </w:r>
      <w:r w:rsidRPr="46178EB4">
        <w:rPr>
          <w:rFonts w:ascii="Arial" w:hAnsi="Arial" w:cs="Arial"/>
          <w:sz w:val="20"/>
          <w:szCs w:val="20"/>
        </w:rPr>
        <w:t>patient voice</w:t>
      </w:r>
      <w:r w:rsidR="00B62472" w:rsidRPr="46178EB4">
        <w:rPr>
          <w:rFonts w:ascii="Arial" w:hAnsi="Arial" w:cs="Arial"/>
          <w:sz w:val="20"/>
          <w:szCs w:val="20"/>
        </w:rPr>
        <w:t xml:space="preserve"> co-instructors, </w:t>
      </w:r>
      <w:r w:rsidR="00194918" w:rsidRPr="46178EB4">
        <w:rPr>
          <w:rFonts w:ascii="Arial" w:hAnsi="Arial" w:cs="Arial"/>
          <w:sz w:val="20"/>
          <w:szCs w:val="20"/>
        </w:rPr>
        <w:t xml:space="preserve">panelists, reviewers, facilitators </w:t>
      </w:r>
      <w:r w:rsidR="00664AC1" w:rsidRPr="46178EB4">
        <w:rPr>
          <w:rFonts w:ascii="Arial" w:hAnsi="Arial" w:cs="Arial"/>
          <w:sz w:val="20"/>
          <w:szCs w:val="20"/>
        </w:rPr>
        <w:t>and/</w:t>
      </w:r>
      <w:r w:rsidR="00B62472" w:rsidRPr="46178EB4">
        <w:rPr>
          <w:rFonts w:ascii="Arial" w:hAnsi="Arial" w:cs="Arial"/>
          <w:sz w:val="20"/>
          <w:szCs w:val="20"/>
        </w:rPr>
        <w:t>or other</w:t>
      </w:r>
      <w:r w:rsidR="00664AC1" w:rsidRPr="46178EB4">
        <w:rPr>
          <w:rFonts w:ascii="Arial" w:hAnsi="Arial" w:cs="Arial"/>
          <w:sz w:val="20"/>
          <w:szCs w:val="20"/>
        </w:rPr>
        <w:t>s</w:t>
      </w:r>
      <w:r w:rsidR="00774E9A" w:rsidRPr="46178EB4">
        <w:rPr>
          <w:rFonts w:ascii="Arial" w:hAnsi="Arial" w:cs="Arial"/>
          <w:sz w:val="20"/>
          <w:szCs w:val="20"/>
        </w:rPr>
        <w:t xml:space="preserve"> </w:t>
      </w:r>
      <w:r w:rsidR="0006469F" w:rsidRPr="46178EB4">
        <w:rPr>
          <w:rFonts w:ascii="Arial" w:hAnsi="Arial" w:cs="Arial"/>
          <w:sz w:val="20"/>
          <w:szCs w:val="20"/>
        </w:rPr>
        <w:t xml:space="preserve">who contribute to approved activities. </w:t>
      </w:r>
      <w:r w:rsidR="00FB03BC" w:rsidRPr="46178EB4">
        <w:rPr>
          <w:rFonts w:ascii="Arial" w:hAnsi="Arial" w:cs="Arial"/>
          <w:sz w:val="20"/>
          <w:szCs w:val="20"/>
        </w:rPr>
        <w:t xml:space="preserve"> </w:t>
      </w:r>
      <w:r>
        <w:br/>
      </w:r>
      <w:r>
        <w:br/>
      </w:r>
      <w:r w:rsidR="00826F66" w:rsidRPr="46178EB4">
        <w:rPr>
          <w:rFonts w:ascii="Arial" w:hAnsi="Arial" w:cs="Arial"/>
          <w:sz w:val="20"/>
          <w:szCs w:val="20"/>
          <w:u w:val="single"/>
        </w:rPr>
        <w:t>Honoraria</w:t>
      </w:r>
      <w:r w:rsidR="00826F66" w:rsidRPr="46178EB4">
        <w:rPr>
          <w:rFonts w:ascii="Arial" w:hAnsi="Arial" w:cs="Arial"/>
          <w:sz w:val="20"/>
          <w:szCs w:val="20"/>
        </w:rPr>
        <w:t xml:space="preserve"> </w:t>
      </w:r>
      <w:r>
        <w:br/>
      </w:r>
      <w:r w:rsidR="00A34629" w:rsidRPr="46178EB4">
        <w:rPr>
          <w:rFonts w:ascii="Arial" w:hAnsi="Arial" w:cs="Arial"/>
          <w:sz w:val="20"/>
          <w:szCs w:val="20"/>
        </w:rPr>
        <w:t>Contributors</w:t>
      </w:r>
      <w:r w:rsidR="008A58E2" w:rsidRPr="46178EB4">
        <w:rPr>
          <w:rFonts w:ascii="Arial" w:hAnsi="Arial" w:cs="Arial"/>
          <w:sz w:val="20"/>
          <w:szCs w:val="20"/>
        </w:rPr>
        <w:t xml:space="preserve"> may </w:t>
      </w:r>
      <w:r w:rsidR="00A34629" w:rsidRPr="46178EB4">
        <w:rPr>
          <w:rFonts w:ascii="Arial" w:hAnsi="Arial" w:cs="Arial"/>
          <w:sz w:val="20"/>
          <w:szCs w:val="20"/>
        </w:rPr>
        <w:t>receive honoraria as compensation for their professional contributions. Honoraria amounts will be determined based on</w:t>
      </w:r>
      <w:r w:rsidR="00D41797" w:rsidRPr="46178EB4">
        <w:rPr>
          <w:rFonts w:ascii="Arial" w:hAnsi="Arial" w:cs="Arial"/>
          <w:sz w:val="20"/>
          <w:szCs w:val="20"/>
        </w:rPr>
        <w:t xml:space="preserve"> </w:t>
      </w:r>
      <w:r w:rsidR="0042193E" w:rsidRPr="46178EB4">
        <w:rPr>
          <w:rFonts w:ascii="Arial" w:hAnsi="Arial" w:cs="Arial"/>
          <w:sz w:val="20"/>
          <w:szCs w:val="20"/>
        </w:rPr>
        <w:t xml:space="preserve">the </w:t>
      </w:r>
      <w:r w:rsidR="00D41797" w:rsidRPr="46178EB4">
        <w:rPr>
          <w:rFonts w:ascii="Arial" w:hAnsi="Arial" w:cs="Arial"/>
          <w:sz w:val="20"/>
          <w:szCs w:val="20"/>
        </w:rPr>
        <w:t>criterion</w:t>
      </w:r>
      <w:r w:rsidR="17FB0FF8" w:rsidRPr="46178EB4">
        <w:rPr>
          <w:rFonts w:ascii="Arial" w:hAnsi="Arial" w:cs="Arial"/>
          <w:sz w:val="20"/>
          <w:szCs w:val="20"/>
        </w:rPr>
        <w:t xml:space="preserve"> </w:t>
      </w:r>
      <w:r w:rsidR="5142A719" w:rsidRPr="46178EB4">
        <w:rPr>
          <w:rFonts w:ascii="Arial" w:hAnsi="Arial" w:cs="Arial"/>
          <w:sz w:val="20"/>
          <w:szCs w:val="20"/>
        </w:rPr>
        <w:t>(</w:t>
      </w:r>
      <w:r w:rsidR="00AE2A31" w:rsidRPr="46178EB4">
        <w:rPr>
          <w:rFonts w:ascii="Arial" w:hAnsi="Arial" w:cs="Arial"/>
          <w:sz w:val="20"/>
          <w:szCs w:val="20"/>
        </w:rPr>
        <w:t>e.g.</w:t>
      </w:r>
      <w:r w:rsidR="0042193E" w:rsidRPr="46178EB4">
        <w:rPr>
          <w:rFonts w:ascii="Arial" w:hAnsi="Arial" w:cs="Arial"/>
          <w:sz w:val="20"/>
          <w:szCs w:val="20"/>
        </w:rPr>
        <w:t>,</w:t>
      </w:r>
      <w:r w:rsidR="00AE2A31" w:rsidRPr="46178EB4">
        <w:rPr>
          <w:rFonts w:ascii="Arial" w:hAnsi="Arial" w:cs="Arial"/>
          <w:sz w:val="20"/>
          <w:szCs w:val="20"/>
        </w:rPr>
        <w:t xml:space="preserve"> </w:t>
      </w:r>
      <w:r w:rsidR="00A34629" w:rsidRPr="46178EB4">
        <w:rPr>
          <w:rFonts w:ascii="Arial" w:hAnsi="Arial" w:cs="Arial"/>
          <w:sz w:val="20"/>
          <w:szCs w:val="20"/>
        </w:rPr>
        <w:t>the nature of the work, the duration</w:t>
      </w:r>
      <w:r w:rsidR="00E61572" w:rsidRPr="46178EB4">
        <w:rPr>
          <w:rFonts w:ascii="Arial" w:hAnsi="Arial" w:cs="Arial"/>
          <w:sz w:val="20"/>
          <w:szCs w:val="20"/>
        </w:rPr>
        <w:t xml:space="preserve"> of involvement, and</w:t>
      </w:r>
      <w:r w:rsidR="00AE2A31" w:rsidRPr="46178EB4">
        <w:rPr>
          <w:rFonts w:ascii="Arial" w:hAnsi="Arial" w:cs="Arial"/>
          <w:sz w:val="20"/>
          <w:szCs w:val="20"/>
        </w:rPr>
        <w:t xml:space="preserve">/or </w:t>
      </w:r>
      <w:r w:rsidR="00E61572" w:rsidRPr="46178EB4">
        <w:rPr>
          <w:rFonts w:ascii="Arial" w:hAnsi="Arial" w:cs="Arial"/>
          <w:sz w:val="20"/>
          <w:szCs w:val="20"/>
        </w:rPr>
        <w:t>available budget</w:t>
      </w:r>
      <w:r w:rsidR="00AE2A31" w:rsidRPr="46178EB4">
        <w:rPr>
          <w:rFonts w:ascii="Arial" w:hAnsi="Arial" w:cs="Arial"/>
          <w:sz w:val="20"/>
          <w:szCs w:val="20"/>
        </w:rPr>
        <w:t>, etc</w:t>
      </w:r>
      <w:r w:rsidR="0E0A9E09" w:rsidRPr="46178EB4">
        <w:rPr>
          <w:rFonts w:ascii="Arial" w:hAnsi="Arial" w:cs="Arial"/>
          <w:sz w:val="20"/>
          <w:szCs w:val="20"/>
        </w:rPr>
        <w:t>.</w:t>
      </w:r>
      <w:r w:rsidR="513D1636" w:rsidRPr="46178EB4">
        <w:rPr>
          <w:rFonts w:ascii="Arial" w:hAnsi="Arial" w:cs="Arial"/>
          <w:sz w:val="20"/>
          <w:szCs w:val="20"/>
        </w:rPr>
        <w:t>)</w:t>
      </w:r>
      <w:r w:rsidR="00D026B7" w:rsidRPr="46178EB4">
        <w:rPr>
          <w:rFonts w:ascii="Arial" w:hAnsi="Arial" w:cs="Arial"/>
          <w:sz w:val="20"/>
          <w:szCs w:val="20"/>
        </w:rPr>
        <w:t xml:space="preserve"> established by </w:t>
      </w:r>
      <w:r w:rsidR="68EB5DE1" w:rsidRPr="46178EB4">
        <w:rPr>
          <w:rFonts w:ascii="Arial" w:hAnsi="Arial" w:cs="Arial"/>
          <w:sz w:val="20"/>
          <w:szCs w:val="20"/>
        </w:rPr>
        <w:t>[</w:t>
      </w:r>
      <w:r w:rsidR="00D026B7" w:rsidRPr="46178EB4">
        <w:rPr>
          <w:rFonts w:ascii="Arial" w:hAnsi="Arial" w:cs="Arial"/>
          <w:sz w:val="20"/>
          <w:szCs w:val="20"/>
        </w:rPr>
        <w:t>BOC Approved Provider</w:t>
      </w:r>
      <w:r w:rsidR="3E4C6CAF" w:rsidRPr="46178EB4">
        <w:rPr>
          <w:rFonts w:ascii="Arial" w:hAnsi="Arial" w:cs="Arial"/>
          <w:sz w:val="20"/>
          <w:szCs w:val="20"/>
        </w:rPr>
        <w:t>]</w:t>
      </w:r>
      <w:r w:rsidR="70D8CD20" w:rsidRPr="46178EB4">
        <w:rPr>
          <w:rFonts w:ascii="Arial" w:hAnsi="Arial" w:cs="Arial"/>
          <w:sz w:val="20"/>
          <w:szCs w:val="20"/>
        </w:rPr>
        <w:t>.</w:t>
      </w:r>
      <w:r w:rsidR="00E61572" w:rsidRPr="46178EB4">
        <w:rPr>
          <w:rFonts w:ascii="Arial" w:hAnsi="Arial" w:cs="Arial"/>
          <w:sz w:val="20"/>
          <w:szCs w:val="20"/>
        </w:rPr>
        <w:t xml:space="preserve"> All honoraria must be approved in advance </w:t>
      </w:r>
      <w:r w:rsidR="00340DDE" w:rsidRPr="46178EB4">
        <w:rPr>
          <w:rFonts w:ascii="Arial" w:hAnsi="Arial" w:cs="Arial"/>
          <w:sz w:val="20"/>
          <w:szCs w:val="20"/>
        </w:rPr>
        <w:t>by [</w:t>
      </w:r>
      <w:r w:rsidR="00D026B7" w:rsidRPr="46178EB4">
        <w:rPr>
          <w:rFonts w:ascii="Arial" w:hAnsi="Arial" w:cs="Arial"/>
          <w:sz w:val="20"/>
          <w:szCs w:val="20"/>
        </w:rPr>
        <w:t xml:space="preserve">BOC </w:t>
      </w:r>
      <w:r w:rsidR="00340DDE" w:rsidRPr="46178EB4">
        <w:rPr>
          <w:rFonts w:ascii="Arial" w:hAnsi="Arial" w:cs="Arial"/>
          <w:sz w:val="20"/>
          <w:szCs w:val="20"/>
        </w:rPr>
        <w:t xml:space="preserve">Approved Provider </w:t>
      </w:r>
      <w:r w:rsidR="00D026B7" w:rsidRPr="46178EB4">
        <w:rPr>
          <w:rFonts w:ascii="Arial" w:hAnsi="Arial" w:cs="Arial"/>
          <w:sz w:val="20"/>
          <w:szCs w:val="20"/>
        </w:rPr>
        <w:t>individual</w:t>
      </w:r>
      <w:r w:rsidR="00340DDE" w:rsidRPr="46178EB4">
        <w:rPr>
          <w:rFonts w:ascii="Arial" w:hAnsi="Arial" w:cs="Arial"/>
          <w:sz w:val="20"/>
          <w:szCs w:val="20"/>
        </w:rPr>
        <w:t>/Title</w:t>
      </w:r>
      <w:r w:rsidR="00842CE7" w:rsidRPr="46178EB4">
        <w:rPr>
          <w:rFonts w:ascii="Arial" w:hAnsi="Arial" w:cs="Arial"/>
          <w:sz w:val="20"/>
          <w:szCs w:val="20"/>
        </w:rPr>
        <w:t xml:space="preserve"> or department or process</w:t>
      </w:r>
      <w:r w:rsidR="00340DDE" w:rsidRPr="46178EB4">
        <w:rPr>
          <w:rFonts w:ascii="Arial" w:hAnsi="Arial" w:cs="Arial"/>
          <w:sz w:val="20"/>
          <w:szCs w:val="20"/>
        </w:rPr>
        <w:t xml:space="preserve">]. </w:t>
      </w:r>
      <w:r>
        <w:br/>
      </w:r>
      <w:r>
        <w:br/>
      </w:r>
      <w:r w:rsidR="00E16AE7" w:rsidRPr="46178EB4">
        <w:rPr>
          <w:rFonts w:ascii="Arial" w:hAnsi="Arial" w:cs="Arial"/>
          <w:sz w:val="20"/>
          <w:szCs w:val="20"/>
          <w:u w:val="single"/>
        </w:rPr>
        <w:t>Expense Reimbursement</w:t>
      </w:r>
      <w:r w:rsidR="00E16AE7" w:rsidRPr="46178EB4">
        <w:rPr>
          <w:rFonts w:ascii="Arial" w:hAnsi="Arial" w:cs="Arial"/>
          <w:sz w:val="20"/>
          <w:szCs w:val="20"/>
        </w:rPr>
        <w:t xml:space="preserve"> </w:t>
      </w:r>
      <w:r>
        <w:br/>
      </w:r>
      <w:r w:rsidR="00842CE7" w:rsidRPr="46178EB4">
        <w:rPr>
          <w:rFonts w:ascii="Arial" w:hAnsi="Arial" w:cs="Arial"/>
          <w:sz w:val="20"/>
          <w:szCs w:val="20"/>
        </w:rPr>
        <w:t>F</w:t>
      </w:r>
      <w:r w:rsidR="00E16AE7" w:rsidRPr="46178EB4">
        <w:rPr>
          <w:rFonts w:ascii="Arial" w:hAnsi="Arial" w:cs="Arial"/>
          <w:sz w:val="20"/>
          <w:szCs w:val="20"/>
        </w:rPr>
        <w:t xml:space="preserve">aculty </w:t>
      </w:r>
      <w:r w:rsidR="00842CE7" w:rsidRPr="46178EB4">
        <w:rPr>
          <w:rFonts w:ascii="Arial" w:hAnsi="Arial" w:cs="Arial"/>
          <w:sz w:val="20"/>
          <w:szCs w:val="20"/>
        </w:rPr>
        <w:t>[will/</w:t>
      </w:r>
      <w:r w:rsidR="00F425DC" w:rsidRPr="46178EB4">
        <w:rPr>
          <w:rFonts w:ascii="Arial" w:hAnsi="Arial" w:cs="Arial"/>
          <w:sz w:val="20"/>
          <w:szCs w:val="20"/>
        </w:rPr>
        <w:t xml:space="preserve"> will not/ </w:t>
      </w:r>
      <w:r w:rsidR="00E16AE7" w:rsidRPr="46178EB4">
        <w:rPr>
          <w:rFonts w:ascii="Arial" w:hAnsi="Arial" w:cs="Arial"/>
          <w:sz w:val="20"/>
          <w:szCs w:val="20"/>
        </w:rPr>
        <w:t>may</w:t>
      </w:r>
      <w:r w:rsidR="00F425DC" w:rsidRPr="46178EB4">
        <w:rPr>
          <w:rFonts w:ascii="Arial" w:hAnsi="Arial" w:cs="Arial"/>
          <w:sz w:val="20"/>
          <w:szCs w:val="20"/>
        </w:rPr>
        <w:t>]</w:t>
      </w:r>
      <w:r w:rsidR="00E16AE7" w:rsidRPr="46178EB4">
        <w:rPr>
          <w:rFonts w:ascii="Arial" w:hAnsi="Arial" w:cs="Arial"/>
          <w:sz w:val="20"/>
          <w:szCs w:val="20"/>
        </w:rPr>
        <w:t xml:space="preserve"> be reimbursed for </w:t>
      </w:r>
      <w:r w:rsidR="009F7F14" w:rsidRPr="46178EB4">
        <w:rPr>
          <w:rFonts w:ascii="Arial" w:hAnsi="Arial" w:cs="Arial"/>
          <w:sz w:val="20"/>
          <w:szCs w:val="20"/>
        </w:rPr>
        <w:t>r</w:t>
      </w:r>
      <w:r w:rsidR="00E16AE7" w:rsidRPr="46178EB4">
        <w:rPr>
          <w:rFonts w:ascii="Arial" w:hAnsi="Arial" w:cs="Arial"/>
          <w:sz w:val="20"/>
          <w:szCs w:val="20"/>
        </w:rPr>
        <w:t xml:space="preserve">easonable, necessary, and pre-approved expenses directly related to the planning or delivery of approved activities. </w:t>
      </w:r>
      <w:r w:rsidR="0097445E" w:rsidRPr="46178EB4">
        <w:rPr>
          <w:rFonts w:ascii="Arial" w:hAnsi="Arial" w:cs="Arial"/>
          <w:sz w:val="20"/>
          <w:szCs w:val="20"/>
        </w:rPr>
        <w:t xml:space="preserve">Reimbursements must comply with the </w:t>
      </w:r>
      <w:r w:rsidR="0042193E" w:rsidRPr="46178EB4">
        <w:rPr>
          <w:rFonts w:ascii="Arial" w:hAnsi="Arial" w:cs="Arial"/>
          <w:sz w:val="20"/>
          <w:szCs w:val="20"/>
        </w:rPr>
        <w:t xml:space="preserve">BOC </w:t>
      </w:r>
      <w:r w:rsidR="0097445E" w:rsidRPr="46178EB4">
        <w:rPr>
          <w:rFonts w:ascii="Arial" w:hAnsi="Arial" w:cs="Arial"/>
          <w:sz w:val="20"/>
          <w:szCs w:val="20"/>
        </w:rPr>
        <w:lastRenderedPageBreak/>
        <w:t xml:space="preserve">Approved </w:t>
      </w:r>
      <w:r w:rsidR="0042193E" w:rsidRPr="46178EB4">
        <w:rPr>
          <w:rFonts w:ascii="Arial" w:hAnsi="Arial" w:cs="Arial"/>
          <w:sz w:val="20"/>
          <w:szCs w:val="20"/>
        </w:rPr>
        <w:t>P</w:t>
      </w:r>
      <w:r w:rsidR="0097445E" w:rsidRPr="46178EB4">
        <w:rPr>
          <w:rFonts w:ascii="Arial" w:hAnsi="Arial" w:cs="Arial"/>
          <w:sz w:val="20"/>
          <w:szCs w:val="20"/>
        </w:rPr>
        <w:t xml:space="preserve">rovider’s </w:t>
      </w:r>
      <w:r w:rsidR="00BA2AF7" w:rsidRPr="46178EB4">
        <w:rPr>
          <w:rFonts w:ascii="Arial" w:hAnsi="Arial" w:cs="Arial"/>
          <w:sz w:val="20"/>
          <w:szCs w:val="20"/>
        </w:rPr>
        <w:t xml:space="preserve">financial policies. </w:t>
      </w:r>
      <w:r>
        <w:br/>
      </w:r>
      <w:r>
        <w:br/>
      </w:r>
      <w:r w:rsidR="00FB03BC" w:rsidRPr="46178EB4">
        <w:rPr>
          <w:rFonts w:ascii="Arial" w:hAnsi="Arial" w:cs="Arial"/>
          <w:sz w:val="20"/>
          <w:szCs w:val="20"/>
        </w:rPr>
        <w:t xml:space="preserve">Examples of </w:t>
      </w:r>
      <w:r w:rsidR="00FB7024" w:rsidRPr="46178EB4">
        <w:rPr>
          <w:rFonts w:ascii="Arial" w:hAnsi="Arial" w:cs="Arial"/>
          <w:sz w:val="20"/>
          <w:szCs w:val="20"/>
        </w:rPr>
        <w:t>considerations for this policy include:</w:t>
      </w:r>
    </w:p>
    <w:p w14:paraId="3E3D1127" w14:textId="2AD10D66" w:rsidR="00FB7024" w:rsidRPr="004F5EE2" w:rsidRDefault="00FB7024" w:rsidP="00FB7024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5EE2">
        <w:rPr>
          <w:rFonts w:ascii="Arial" w:hAnsi="Arial" w:cs="Arial"/>
          <w:sz w:val="20"/>
          <w:szCs w:val="20"/>
        </w:rPr>
        <w:t>Eligibility for</w:t>
      </w:r>
      <w:r w:rsidR="001A4B7A" w:rsidRPr="004F5EE2">
        <w:rPr>
          <w:rFonts w:ascii="Arial" w:hAnsi="Arial" w:cs="Arial"/>
          <w:sz w:val="20"/>
          <w:szCs w:val="20"/>
        </w:rPr>
        <w:t xml:space="preserve"> honoraria</w:t>
      </w:r>
    </w:p>
    <w:p w14:paraId="675CCC22" w14:textId="644680DF" w:rsidR="00FD3FF5" w:rsidRPr="004F5EE2" w:rsidRDefault="00FB7024" w:rsidP="00FB7024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5EE2">
        <w:rPr>
          <w:rFonts w:ascii="Arial" w:hAnsi="Arial" w:cs="Arial"/>
          <w:sz w:val="20"/>
          <w:szCs w:val="20"/>
        </w:rPr>
        <w:t xml:space="preserve">Honoraria </w:t>
      </w:r>
      <w:r w:rsidR="001A4B7A" w:rsidRPr="004F5EE2">
        <w:rPr>
          <w:rFonts w:ascii="Arial" w:hAnsi="Arial" w:cs="Arial"/>
          <w:sz w:val="20"/>
          <w:szCs w:val="20"/>
        </w:rPr>
        <w:t>amount(s)</w:t>
      </w:r>
    </w:p>
    <w:p w14:paraId="171D2D81" w14:textId="77777777" w:rsidR="007E5A93" w:rsidRPr="004F5EE2" w:rsidRDefault="007E5A93" w:rsidP="00FB7024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5EE2">
        <w:rPr>
          <w:rFonts w:ascii="Arial" w:hAnsi="Arial" w:cs="Arial"/>
          <w:sz w:val="20"/>
          <w:szCs w:val="20"/>
        </w:rPr>
        <w:t xml:space="preserve">Payment terms </w:t>
      </w:r>
    </w:p>
    <w:p w14:paraId="49A01703" w14:textId="0B620B12" w:rsidR="00A276EF" w:rsidRPr="004F5EE2" w:rsidRDefault="00A276EF" w:rsidP="00A276EF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5EE2">
        <w:rPr>
          <w:rFonts w:ascii="Arial" w:hAnsi="Arial" w:cs="Arial"/>
          <w:sz w:val="20"/>
          <w:szCs w:val="20"/>
        </w:rPr>
        <w:t>Eligible reimbursement expenses</w:t>
      </w:r>
      <w:r w:rsidR="00880C5F" w:rsidRPr="004F5EE2">
        <w:rPr>
          <w:rFonts w:ascii="Arial" w:hAnsi="Arial" w:cs="Arial"/>
          <w:sz w:val="20"/>
          <w:szCs w:val="20"/>
        </w:rPr>
        <w:t xml:space="preserve"> and documentation requirements </w:t>
      </w:r>
    </w:p>
    <w:p w14:paraId="07A66FF2" w14:textId="77777777" w:rsidR="00A276EF" w:rsidRPr="004F5EE2" w:rsidRDefault="00A276EF" w:rsidP="00A276EF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5EE2">
        <w:rPr>
          <w:rFonts w:ascii="Arial" w:hAnsi="Arial" w:cs="Arial"/>
          <w:sz w:val="20"/>
          <w:szCs w:val="20"/>
        </w:rPr>
        <w:t xml:space="preserve">Pre-approval for reimbursement expenses </w:t>
      </w:r>
    </w:p>
    <w:p w14:paraId="1BD19BD5" w14:textId="511E6232" w:rsidR="00A13D5F" w:rsidRPr="004F5EE2" w:rsidRDefault="00A13D5F" w:rsidP="00A276EF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F5EE2">
        <w:rPr>
          <w:rFonts w:ascii="Arial" w:hAnsi="Arial" w:cs="Arial"/>
          <w:sz w:val="20"/>
          <w:szCs w:val="20"/>
        </w:rPr>
        <w:t>Honoraria and payment compliance requirements (IRS regulations</w:t>
      </w:r>
      <w:r w:rsidR="0042193E" w:rsidRPr="004F5EE2">
        <w:rPr>
          <w:rFonts w:ascii="Arial" w:hAnsi="Arial" w:cs="Arial"/>
          <w:sz w:val="20"/>
          <w:szCs w:val="20"/>
        </w:rPr>
        <w:t>,</w:t>
      </w:r>
      <w:r w:rsidR="00E250B0" w:rsidRPr="004F5EE2">
        <w:rPr>
          <w:rFonts w:ascii="Arial" w:hAnsi="Arial" w:cs="Arial"/>
          <w:sz w:val="20"/>
          <w:szCs w:val="20"/>
        </w:rPr>
        <w:t xml:space="preserve"> including W-9 </w:t>
      </w:r>
      <w:r w:rsidR="006228A9" w:rsidRPr="004F5EE2">
        <w:rPr>
          <w:rFonts w:ascii="Arial" w:hAnsi="Arial" w:cs="Arial"/>
          <w:sz w:val="20"/>
          <w:szCs w:val="20"/>
        </w:rPr>
        <w:t>preparations</w:t>
      </w:r>
      <w:r w:rsidRPr="004F5EE2">
        <w:rPr>
          <w:rFonts w:ascii="Arial" w:hAnsi="Arial" w:cs="Arial"/>
          <w:sz w:val="20"/>
          <w:szCs w:val="20"/>
        </w:rPr>
        <w:t>, BOC Approved Provider financial policies, state/federal laws</w:t>
      </w:r>
      <w:r w:rsidR="006228A9" w:rsidRPr="004F5EE2">
        <w:rPr>
          <w:rFonts w:ascii="Arial" w:hAnsi="Arial" w:cs="Arial"/>
          <w:sz w:val="20"/>
          <w:szCs w:val="20"/>
        </w:rPr>
        <w:t>, etc.</w:t>
      </w:r>
      <w:r w:rsidRPr="004F5EE2">
        <w:rPr>
          <w:rFonts w:ascii="Arial" w:hAnsi="Arial" w:cs="Arial"/>
          <w:sz w:val="20"/>
          <w:szCs w:val="20"/>
        </w:rPr>
        <w:t xml:space="preserve">) </w:t>
      </w:r>
    </w:p>
    <w:p w14:paraId="4813DF9A" w14:textId="7985C488" w:rsidR="00391A62" w:rsidRPr="004F5EE2" w:rsidRDefault="00FB7024" w:rsidP="00A13D5F">
      <w:pPr>
        <w:spacing w:after="0" w:line="240" w:lineRule="auto"/>
        <w:rPr>
          <w:rFonts w:ascii="Arial" w:hAnsi="Arial" w:cs="Arial"/>
        </w:rPr>
      </w:pPr>
      <w:r w:rsidRPr="004F5EE2">
        <w:rPr>
          <w:rFonts w:ascii="Arial" w:hAnsi="Arial" w:cs="Arial"/>
        </w:rPr>
        <w:br/>
      </w:r>
      <w:r w:rsidR="00E86C23" w:rsidRPr="004F5EE2">
        <w:rPr>
          <w:rFonts w:ascii="Arial" w:hAnsi="Arial" w:cs="Arial"/>
        </w:rPr>
        <w:br/>
      </w:r>
    </w:p>
    <w:sectPr w:rsidR="00391A62" w:rsidRPr="004F5EE2" w:rsidSect="00E02B19">
      <w:footerReference w:type="default" r:id="rId17"/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A763" w14:textId="77777777" w:rsidR="002A69FB" w:rsidRDefault="002A69FB" w:rsidP="00785E5B">
      <w:pPr>
        <w:spacing w:after="0" w:line="240" w:lineRule="auto"/>
      </w:pPr>
      <w:r>
        <w:separator/>
      </w:r>
    </w:p>
  </w:endnote>
  <w:endnote w:type="continuationSeparator" w:id="0">
    <w:p w14:paraId="53065A1E" w14:textId="77777777" w:rsidR="002A69FB" w:rsidRDefault="002A69FB" w:rsidP="00785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 Grotesk BE Regular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Theme="minorEastAsia" w:hAnsi="Arial" w:cs="Arial"/>
      </w:rPr>
      <w:id w:val="1130211887"/>
      <w:docPartObj>
        <w:docPartGallery w:val="Page Numbers (Bottom of Page)"/>
        <w:docPartUnique/>
      </w:docPartObj>
    </w:sdtPr>
    <w:sdtEndPr>
      <w:rPr>
        <w:rFonts w:eastAsiaTheme="majorEastAsia"/>
        <w:noProof/>
      </w:rPr>
    </w:sdtEndPr>
    <w:sdtContent>
      <w:p w14:paraId="268E34B7" w14:textId="7DAE458C" w:rsidR="00C97F79" w:rsidRPr="00731BCB" w:rsidRDefault="00C97F79" w:rsidP="002C4056">
        <w:pPr>
          <w:pStyle w:val="Footer"/>
          <w:jc w:val="center"/>
          <w:rPr>
            <w:rFonts w:ascii="Arial" w:eastAsiaTheme="majorEastAsia" w:hAnsi="Arial" w:cs="Arial"/>
          </w:rPr>
        </w:pPr>
        <w:r w:rsidRPr="00B901ED">
          <w:rPr>
            <w:rFonts w:ascii="Noto Serif" w:eastAsiaTheme="minorEastAsia" w:hAnsi="Noto Serif" w:cs="Noto Serif"/>
            <w:sz w:val="18"/>
            <w:szCs w:val="18"/>
          </w:rPr>
          <w:fldChar w:fldCharType="begin"/>
        </w:r>
        <w:r w:rsidRPr="00B901ED">
          <w:rPr>
            <w:rFonts w:ascii="Noto Serif" w:hAnsi="Noto Serif" w:cs="Noto Serif"/>
            <w:sz w:val="18"/>
            <w:szCs w:val="18"/>
          </w:rPr>
          <w:instrText xml:space="preserve"> PAGE   \* MERGEFORMAT </w:instrText>
        </w:r>
        <w:r w:rsidRPr="00B901ED">
          <w:rPr>
            <w:rFonts w:ascii="Noto Serif" w:eastAsiaTheme="minorEastAsia" w:hAnsi="Noto Serif" w:cs="Noto Serif"/>
            <w:sz w:val="18"/>
            <w:szCs w:val="18"/>
          </w:rPr>
          <w:fldChar w:fldCharType="separate"/>
        </w:r>
        <w:r w:rsidRPr="00B901ED">
          <w:rPr>
            <w:rFonts w:ascii="Noto Serif" w:eastAsiaTheme="majorEastAsia" w:hAnsi="Noto Serif" w:cs="Noto Serif"/>
            <w:noProof/>
            <w:sz w:val="18"/>
            <w:szCs w:val="18"/>
          </w:rPr>
          <w:t>2</w:t>
        </w:r>
        <w:r w:rsidRPr="00B901ED">
          <w:rPr>
            <w:rFonts w:ascii="Noto Serif" w:eastAsiaTheme="majorEastAsia" w:hAnsi="Noto Serif" w:cs="Noto Serif"/>
            <w:noProof/>
            <w:sz w:val="18"/>
            <w:szCs w:val="18"/>
          </w:rPr>
          <w:fldChar w:fldCharType="end"/>
        </w:r>
      </w:p>
    </w:sdtContent>
  </w:sdt>
  <w:p w14:paraId="5224EA80" w14:textId="21CC0A20" w:rsidR="00785E5B" w:rsidRDefault="00785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11AE" w14:textId="77777777" w:rsidR="002A69FB" w:rsidRDefault="002A69FB" w:rsidP="00785E5B">
      <w:pPr>
        <w:spacing w:after="0" w:line="240" w:lineRule="auto"/>
      </w:pPr>
      <w:r>
        <w:separator/>
      </w:r>
    </w:p>
  </w:footnote>
  <w:footnote w:type="continuationSeparator" w:id="0">
    <w:p w14:paraId="659AC871" w14:textId="77777777" w:rsidR="002A69FB" w:rsidRDefault="002A69FB" w:rsidP="00785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557"/>
    <w:multiLevelType w:val="hybridMultilevel"/>
    <w:tmpl w:val="FBFA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53B8C"/>
    <w:multiLevelType w:val="hybridMultilevel"/>
    <w:tmpl w:val="4BD2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27928"/>
    <w:multiLevelType w:val="hybridMultilevel"/>
    <w:tmpl w:val="A2E01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69F"/>
    <w:multiLevelType w:val="multilevel"/>
    <w:tmpl w:val="68F8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B5ED3"/>
    <w:multiLevelType w:val="multilevel"/>
    <w:tmpl w:val="2FC6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AE4965"/>
    <w:multiLevelType w:val="multilevel"/>
    <w:tmpl w:val="B908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02769"/>
    <w:multiLevelType w:val="hybridMultilevel"/>
    <w:tmpl w:val="1C9C0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E2E81"/>
    <w:multiLevelType w:val="multilevel"/>
    <w:tmpl w:val="686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140C9"/>
    <w:multiLevelType w:val="multilevel"/>
    <w:tmpl w:val="24D8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9485C"/>
    <w:multiLevelType w:val="multilevel"/>
    <w:tmpl w:val="84B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0258FF"/>
    <w:multiLevelType w:val="multilevel"/>
    <w:tmpl w:val="DA14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82B97"/>
    <w:multiLevelType w:val="hybridMultilevel"/>
    <w:tmpl w:val="F20A3424"/>
    <w:lvl w:ilvl="0" w:tplc="98383F3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BDE5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658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78E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091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CE4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69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206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E53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14E38"/>
    <w:multiLevelType w:val="multilevel"/>
    <w:tmpl w:val="E066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4E5CEF"/>
    <w:multiLevelType w:val="multilevel"/>
    <w:tmpl w:val="2E7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D1AC8"/>
    <w:multiLevelType w:val="multilevel"/>
    <w:tmpl w:val="37B8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D76E9"/>
    <w:multiLevelType w:val="multilevel"/>
    <w:tmpl w:val="214A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5F2730"/>
    <w:multiLevelType w:val="hybridMultilevel"/>
    <w:tmpl w:val="199CE6D0"/>
    <w:lvl w:ilvl="0" w:tplc="F2927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24B5E"/>
    <w:multiLevelType w:val="multilevel"/>
    <w:tmpl w:val="4DA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9A513A"/>
    <w:multiLevelType w:val="multilevel"/>
    <w:tmpl w:val="C340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1129AF"/>
    <w:multiLevelType w:val="multilevel"/>
    <w:tmpl w:val="A768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4428ED"/>
    <w:multiLevelType w:val="multilevel"/>
    <w:tmpl w:val="B228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E51BF"/>
    <w:multiLevelType w:val="multilevel"/>
    <w:tmpl w:val="A296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660B7B"/>
    <w:multiLevelType w:val="multilevel"/>
    <w:tmpl w:val="4A36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5457E2"/>
    <w:multiLevelType w:val="multilevel"/>
    <w:tmpl w:val="60A6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FE4E07"/>
    <w:multiLevelType w:val="hybridMultilevel"/>
    <w:tmpl w:val="50A05AE2"/>
    <w:lvl w:ilvl="0" w:tplc="01ECF48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234C80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86A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0A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801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422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ED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F8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8F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5F540B"/>
    <w:multiLevelType w:val="multilevel"/>
    <w:tmpl w:val="CDD6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F92819"/>
    <w:multiLevelType w:val="multilevel"/>
    <w:tmpl w:val="EFB0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B2F1F"/>
    <w:multiLevelType w:val="multilevel"/>
    <w:tmpl w:val="E3C2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367C49"/>
    <w:multiLevelType w:val="multilevel"/>
    <w:tmpl w:val="9D2A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65D4A"/>
    <w:multiLevelType w:val="multilevel"/>
    <w:tmpl w:val="4722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06F54"/>
    <w:multiLevelType w:val="multilevel"/>
    <w:tmpl w:val="6A8C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2716EB"/>
    <w:multiLevelType w:val="multilevel"/>
    <w:tmpl w:val="B444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EA44AF"/>
    <w:multiLevelType w:val="multilevel"/>
    <w:tmpl w:val="49C6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432B0E"/>
    <w:multiLevelType w:val="multilevel"/>
    <w:tmpl w:val="0A92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50224C"/>
    <w:multiLevelType w:val="multilevel"/>
    <w:tmpl w:val="EC8C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8873D7"/>
    <w:multiLevelType w:val="hybridMultilevel"/>
    <w:tmpl w:val="BD96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83B9E"/>
    <w:multiLevelType w:val="multilevel"/>
    <w:tmpl w:val="B1D6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C806BB"/>
    <w:multiLevelType w:val="multilevel"/>
    <w:tmpl w:val="AF50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AD58F5"/>
    <w:multiLevelType w:val="multilevel"/>
    <w:tmpl w:val="E83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9C4C3C"/>
    <w:multiLevelType w:val="hybridMultilevel"/>
    <w:tmpl w:val="C70C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AF2DD8"/>
    <w:multiLevelType w:val="multilevel"/>
    <w:tmpl w:val="052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F46158"/>
    <w:multiLevelType w:val="multilevel"/>
    <w:tmpl w:val="7392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CF1994"/>
    <w:multiLevelType w:val="multilevel"/>
    <w:tmpl w:val="E680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53046C"/>
    <w:multiLevelType w:val="multilevel"/>
    <w:tmpl w:val="936E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DF77FA"/>
    <w:multiLevelType w:val="multilevel"/>
    <w:tmpl w:val="040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506C69"/>
    <w:multiLevelType w:val="multilevel"/>
    <w:tmpl w:val="8936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760256">
    <w:abstractNumId w:val="29"/>
  </w:num>
  <w:num w:numId="2" w16cid:durableId="1462335617">
    <w:abstractNumId w:val="29"/>
  </w:num>
  <w:num w:numId="3" w16cid:durableId="106973317">
    <w:abstractNumId w:val="18"/>
  </w:num>
  <w:num w:numId="4" w16cid:durableId="711812410">
    <w:abstractNumId w:val="18"/>
  </w:num>
  <w:num w:numId="5" w16cid:durableId="1090276475">
    <w:abstractNumId w:val="28"/>
  </w:num>
  <w:num w:numId="6" w16cid:durableId="372972332">
    <w:abstractNumId w:val="28"/>
  </w:num>
  <w:num w:numId="7" w16cid:durableId="1698500842">
    <w:abstractNumId w:val="7"/>
  </w:num>
  <w:num w:numId="8" w16cid:durableId="374817911">
    <w:abstractNumId w:val="27"/>
  </w:num>
  <w:num w:numId="9" w16cid:durableId="2106686544">
    <w:abstractNumId w:val="15"/>
  </w:num>
  <w:num w:numId="10" w16cid:durableId="757480098">
    <w:abstractNumId w:val="12"/>
  </w:num>
  <w:num w:numId="11" w16cid:durableId="2144421263">
    <w:abstractNumId w:val="19"/>
  </w:num>
  <w:num w:numId="12" w16cid:durableId="754397471">
    <w:abstractNumId w:val="30"/>
    <w:lvlOverride w:ilvl="0">
      <w:lvl w:ilvl="0">
        <w:numFmt w:val="upperRoman"/>
        <w:lvlText w:val="%1."/>
        <w:lvlJc w:val="right"/>
      </w:lvl>
    </w:lvlOverride>
  </w:num>
  <w:num w:numId="13" w16cid:durableId="897934995">
    <w:abstractNumId w:val="40"/>
  </w:num>
  <w:num w:numId="14" w16cid:durableId="483282121">
    <w:abstractNumId w:val="14"/>
  </w:num>
  <w:num w:numId="15" w16cid:durableId="943733647">
    <w:abstractNumId w:val="5"/>
  </w:num>
  <w:num w:numId="16" w16cid:durableId="2018071187">
    <w:abstractNumId w:val="43"/>
  </w:num>
  <w:num w:numId="17" w16cid:durableId="529804203">
    <w:abstractNumId w:val="8"/>
  </w:num>
  <w:num w:numId="18" w16cid:durableId="1045325062">
    <w:abstractNumId w:val="10"/>
  </w:num>
  <w:num w:numId="19" w16cid:durableId="917986178">
    <w:abstractNumId w:val="42"/>
  </w:num>
  <w:num w:numId="20" w16cid:durableId="2117941075">
    <w:abstractNumId w:val="4"/>
  </w:num>
  <w:num w:numId="21" w16cid:durableId="645427891">
    <w:abstractNumId w:val="24"/>
  </w:num>
  <w:num w:numId="22" w16cid:durableId="842205785">
    <w:abstractNumId w:val="20"/>
  </w:num>
  <w:num w:numId="23" w16cid:durableId="1014500430">
    <w:abstractNumId w:val="41"/>
  </w:num>
  <w:num w:numId="24" w16cid:durableId="306715001">
    <w:abstractNumId w:val="45"/>
  </w:num>
  <w:num w:numId="25" w16cid:durableId="1374425211">
    <w:abstractNumId w:val="9"/>
  </w:num>
  <w:num w:numId="26" w16cid:durableId="2003390903">
    <w:abstractNumId w:val="26"/>
  </w:num>
  <w:num w:numId="27" w16cid:durableId="43606734">
    <w:abstractNumId w:val="11"/>
  </w:num>
  <w:num w:numId="28" w16cid:durableId="887379708">
    <w:abstractNumId w:val="37"/>
  </w:num>
  <w:num w:numId="29" w16cid:durableId="407271196">
    <w:abstractNumId w:val="34"/>
  </w:num>
  <w:num w:numId="30" w16cid:durableId="776556744">
    <w:abstractNumId w:val="23"/>
  </w:num>
  <w:num w:numId="31" w16cid:durableId="949094515">
    <w:abstractNumId w:val="31"/>
  </w:num>
  <w:num w:numId="32" w16cid:durableId="1642734361">
    <w:abstractNumId w:val="33"/>
  </w:num>
  <w:num w:numId="33" w16cid:durableId="557975782">
    <w:abstractNumId w:val="13"/>
  </w:num>
  <w:num w:numId="34" w16cid:durableId="690104217">
    <w:abstractNumId w:val="3"/>
  </w:num>
  <w:num w:numId="35" w16cid:durableId="1442142792">
    <w:abstractNumId w:val="22"/>
  </w:num>
  <w:num w:numId="36" w16cid:durableId="2139761303">
    <w:abstractNumId w:val="17"/>
  </w:num>
  <w:num w:numId="37" w16cid:durableId="1902130114">
    <w:abstractNumId w:val="25"/>
  </w:num>
  <w:num w:numId="38" w16cid:durableId="105662481">
    <w:abstractNumId w:val="36"/>
  </w:num>
  <w:num w:numId="39" w16cid:durableId="2042439330">
    <w:abstractNumId w:val="38"/>
  </w:num>
  <w:num w:numId="40" w16cid:durableId="209656740">
    <w:abstractNumId w:val="44"/>
  </w:num>
  <w:num w:numId="41" w16cid:durableId="1067613395">
    <w:abstractNumId w:val="32"/>
  </w:num>
  <w:num w:numId="42" w16cid:durableId="107824669">
    <w:abstractNumId w:val="21"/>
  </w:num>
  <w:num w:numId="43" w16cid:durableId="471289106">
    <w:abstractNumId w:val="0"/>
  </w:num>
  <w:num w:numId="44" w16cid:durableId="430398839">
    <w:abstractNumId w:val="35"/>
  </w:num>
  <w:num w:numId="45" w16cid:durableId="1869441908">
    <w:abstractNumId w:val="1"/>
  </w:num>
  <w:num w:numId="46" w16cid:durableId="1138453421">
    <w:abstractNumId w:val="6"/>
  </w:num>
  <w:num w:numId="47" w16cid:durableId="695085197">
    <w:abstractNumId w:val="39"/>
  </w:num>
  <w:num w:numId="48" w16cid:durableId="184373140">
    <w:abstractNumId w:val="16"/>
  </w:num>
  <w:num w:numId="49" w16cid:durableId="2092267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6D"/>
    <w:rsid w:val="00002ACB"/>
    <w:rsid w:val="000043A0"/>
    <w:rsid w:val="0001049D"/>
    <w:rsid w:val="00011029"/>
    <w:rsid w:val="00012326"/>
    <w:rsid w:val="00017932"/>
    <w:rsid w:val="00017AC3"/>
    <w:rsid w:val="00020A6D"/>
    <w:rsid w:val="00025C00"/>
    <w:rsid w:val="00032F70"/>
    <w:rsid w:val="000372C6"/>
    <w:rsid w:val="00042DF3"/>
    <w:rsid w:val="00046822"/>
    <w:rsid w:val="000500EA"/>
    <w:rsid w:val="00051604"/>
    <w:rsid w:val="00053620"/>
    <w:rsid w:val="00063F02"/>
    <w:rsid w:val="0006469F"/>
    <w:rsid w:val="0008297F"/>
    <w:rsid w:val="000829C6"/>
    <w:rsid w:val="000843CA"/>
    <w:rsid w:val="000866ED"/>
    <w:rsid w:val="000923C0"/>
    <w:rsid w:val="00092878"/>
    <w:rsid w:val="00092CA0"/>
    <w:rsid w:val="00096601"/>
    <w:rsid w:val="000A0FAB"/>
    <w:rsid w:val="000A2421"/>
    <w:rsid w:val="000A4F6A"/>
    <w:rsid w:val="000B08A3"/>
    <w:rsid w:val="000C3C51"/>
    <w:rsid w:val="000C3F94"/>
    <w:rsid w:val="000D2DAB"/>
    <w:rsid w:val="000E09AF"/>
    <w:rsid w:val="000E42DB"/>
    <w:rsid w:val="000E432D"/>
    <w:rsid w:val="000F04B7"/>
    <w:rsid w:val="000F587B"/>
    <w:rsid w:val="00110933"/>
    <w:rsid w:val="001235CE"/>
    <w:rsid w:val="00126741"/>
    <w:rsid w:val="00161276"/>
    <w:rsid w:val="0018062B"/>
    <w:rsid w:val="00183C36"/>
    <w:rsid w:val="001858D4"/>
    <w:rsid w:val="00194918"/>
    <w:rsid w:val="001975A8"/>
    <w:rsid w:val="00197B28"/>
    <w:rsid w:val="001A1659"/>
    <w:rsid w:val="001A4B7A"/>
    <w:rsid w:val="001A7FC6"/>
    <w:rsid w:val="001B466A"/>
    <w:rsid w:val="001B6C14"/>
    <w:rsid w:val="001C1CC6"/>
    <w:rsid w:val="001C566C"/>
    <w:rsid w:val="001C6416"/>
    <w:rsid w:val="001D4149"/>
    <w:rsid w:val="001E2415"/>
    <w:rsid w:val="001E4900"/>
    <w:rsid w:val="001F0FBD"/>
    <w:rsid w:val="00206C10"/>
    <w:rsid w:val="00210A18"/>
    <w:rsid w:val="00226883"/>
    <w:rsid w:val="00236117"/>
    <w:rsid w:val="002379B3"/>
    <w:rsid w:val="00253692"/>
    <w:rsid w:val="00261BC6"/>
    <w:rsid w:val="00261CE0"/>
    <w:rsid w:val="00262F24"/>
    <w:rsid w:val="00265CDD"/>
    <w:rsid w:val="00265F41"/>
    <w:rsid w:val="00270D04"/>
    <w:rsid w:val="002712B0"/>
    <w:rsid w:val="00273A90"/>
    <w:rsid w:val="00276BE3"/>
    <w:rsid w:val="0027735F"/>
    <w:rsid w:val="00284D52"/>
    <w:rsid w:val="0028659D"/>
    <w:rsid w:val="00296AAB"/>
    <w:rsid w:val="002A1637"/>
    <w:rsid w:val="002A69FB"/>
    <w:rsid w:val="002B3833"/>
    <w:rsid w:val="002B6485"/>
    <w:rsid w:val="002C1483"/>
    <w:rsid w:val="002C4056"/>
    <w:rsid w:val="002D7A93"/>
    <w:rsid w:val="002F457C"/>
    <w:rsid w:val="002F50CD"/>
    <w:rsid w:val="002F7F26"/>
    <w:rsid w:val="00312F8D"/>
    <w:rsid w:val="0031354E"/>
    <w:rsid w:val="00327208"/>
    <w:rsid w:val="00327365"/>
    <w:rsid w:val="003276AE"/>
    <w:rsid w:val="00336BF3"/>
    <w:rsid w:val="00340B41"/>
    <w:rsid w:val="00340DDE"/>
    <w:rsid w:val="0034646B"/>
    <w:rsid w:val="0035033D"/>
    <w:rsid w:val="0035192D"/>
    <w:rsid w:val="00355B69"/>
    <w:rsid w:val="00362F78"/>
    <w:rsid w:val="003635E3"/>
    <w:rsid w:val="003731D1"/>
    <w:rsid w:val="00381526"/>
    <w:rsid w:val="00383498"/>
    <w:rsid w:val="00383D8E"/>
    <w:rsid w:val="00386E2D"/>
    <w:rsid w:val="00390AB1"/>
    <w:rsid w:val="00391A62"/>
    <w:rsid w:val="00392571"/>
    <w:rsid w:val="003A111B"/>
    <w:rsid w:val="003A242E"/>
    <w:rsid w:val="003A50CE"/>
    <w:rsid w:val="003A5486"/>
    <w:rsid w:val="003A7F5B"/>
    <w:rsid w:val="003B061B"/>
    <w:rsid w:val="003B571B"/>
    <w:rsid w:val="003D4A78"/>
    <w:rsid w:val="003E2AD2"/>
    <w:rsid w:val="003E2BBD"/>
    <w:rsid w:val="003F2124"/>
    <w:rsid w:val="003F7A07"/>
    <w:rsid w:val="00403355"/>
    <w:rsid w:val="00403FEC"/>
    <w:rsid w:val="0040580A"/>
    <w:rsid w:val="004154AA"/>
    <w:rsid w:val="004157F0"/>
    <w:rsid w:val="00421734"/>
    <w:rsid w:val="0042193E"/>
    <w:rsid w:val="00421B8C"/>
    <w:rsid w:val="00424C85"/>
    <w:rsid w:val="00427407"/>
    <w:rsid w:val="00430575"/>
    <w:rsid w:val="00434053"/>
    <w:rsid w:val="004418CA"/>
    <w:rsid w:val="00447C0D"/>
    <w:rsid w:val="004514B8"/>
    <w:rsid w:val="0045636F"/>
    <w:rsid w:val="00456B61"/>
    <w:rsid w:val="00460D5D"/>
    <w:rsid w:val="00460DFB"/>
    <w:rsid w:val="00462C1C"/>
    <w:rsid w:val="0047457E"/>
    <w:rsid w:val="00484476"/>
    <w:rsid w:val="004949A1"/>
    <w:rsid w:val="00495CB9"/>
    <w:rsid w:val="00497744"/>
    <w:rsid w:val="004A360F"/>
    <w:rsid w:val="004A5F30"/>
    <w:rsid w:val="004A6DBC"/>
    <w:rsid w:val="004A7AF6"/>
    <w:rsid w:val="004C70E1"/>
    <w:rsid w:val="004D2823"/>
    <w:rsid w:val="004E3601"/>
    <w:rsid w:val="004E4A6B"/>
    <w:rsid w:val="004F5162"/>
    <w:rsid w:val="004F5EE2"/>
    <w:rsid w:val="005076C8"/>
    <w:rsid w:val="0051377D"/>
    <w:rsid w:val="00515246"/>
    <w:rsid w:val="0051646B"/>
    <w:rsid w:val="00532889"/>
    <w:rsid w:val="0053535F"/>
    <w:rsid w:val="0053636C"/>
    <w:rsid w:val="00544D87"/>
    <w:rsid w:val="00546A3A"/>
    <w:rsid w:val="00550897"/>
    <w:rsid w:val="005511E8"/>
    <w:rsid w:val="00552524"/>
    <w:rsid w:val="00563E12"/>
    <w:rsid w:val="00564055"/>
    <w:rsid w:val="005671A8"/>
    <w:rsid w:val="00570C53"/>
    <w:rsid w:val="00574F9E"/>
    <w:rsid w:val="005947D1"/>
    <w:rsid w:val="00596CAE"/>
    <w:rsid w:val="005A2B53"/>
    <w:rsid w:val="005A470F"/>
    <w:rsid w:val="005A5C0F"/>
    <w:rsid w:val="005B0F62"/>
    <w:rsid w:val="005B65CF"/>
    <w:rsid w:val="005B6B4E"/>
    <w:rsid w:val="005B7C72"/>
    <w:rsid w:val="005C0DD6"/>
    <w:rsid w:val="005C7F25"/>
    <w:rsid w:val="005D2DC8"/>
    <w:rsid w:val="005F1162"/>
    <w:rsid w:val="00600DBC"/>
    <w:rsid w:val="00610D5D"/>
    <w:rsid w:val="00613928"/>
    <w:rsid w:val="006140B2"/>
    <w:rsid w:val="0061492A"/>
    <w:rsid w:val="0061623D"/>
    <w:rsid w:val="006228A9"/>
    <w:rsid w:val="006258FF"/>
    <w:rsid w:val="00627219"/>
    <w:rsid w:val="00627B81"/>
    <w:rsid w:val="00634DD1"/>
    <w:rsid w:val="00637359"/>
    <w:rsid w:val="00643C94"/>
    <w:rsid w:val="00646801"/>
    <w:rsid w:val="006507EE"/>
    <w:rsid w:val="00654805"/>
    <w:rsid w:val="00664AC1"/>
    <w:rsid w:val="00670B4D"/>
    <w:rsid w:val="00673B3D"/>
    <w:rsid w:val="00677C6B"/>
    <w:rsid w:val="00680D2F"/>
    <w:rsid w:val="00687209"/>
    <w:rsid w:val="006900C7"/>
    <w:rsid w:val="00691155"/>
    <w:rsid w:val="00692F67"/>
    <w:rsid w:val="006956BE"/>
    <w:rsid w:val="00696D0C"/>
    <w:rsid w:val="006972A2"/>
    <w:rsid w:val="006A0F15"/>
    <w:rsid w:val="006B1138"/>
    <w:rsid w:val="006B3AE7"/>
    <w:rsid w:val="006B7D51"/>
    <w:rsid w:val="006C351C"/>
    <w:rsid w:val="006D40F8"/>
    <w:rsid w:val="006F14E0"/>
    <w:rsid w:val="006F251E"/>
    <w:rsid w:val="006F354D"/>
    <w:rsid w:val="006F4B78"/>
    <w:rsid w:val="00700323"/>
    <w:rsid w:val="00704536"/>
    <w:rsid w:val="00705E0B"/>
    <w:rsid w:val="007116D9"/>
    <w:rsid w:val="007118F5"/>
    <w:rsid w:val="007151AF"/>
    <w:rsid w:val="007176A4"/>
    <w:rsid w:val="0072114D"/>
    <w:rsid w:val="00724CFC"/>
    <w:rsid w:val="0072766B"/>
    <w:rsid w:val="00731BCB"/>
    <w:rsid w:val="00732F9D"/>
    <w:rsid w:val="00736770"/>
    <w:rsid w:val="007372EA"/>
    <w:rsid w:val="0074251B"/>
    <w:rsid w:val="007528D8"/>
    <w:rsid w:val="007577F9"/>
    <w:rsid w:val="0076073E"/>
    <w:rsid w:val="00761726"/>
    <w:rsid w:val="00763087"/>
    <w:rsid w:val="00765768"/>
    <w:rsid w:val="00765A60"/>
    <w:rsid w:val="00765B2E"/>
    <w:rsid w:val="00767316"/>
    <w:rsid w:val="007708DA"/>
    <w:rsid w:val="007724EC"/>
    <w:rsid w:val="0077355C"/>
    <w:rsid w:val="00774E9A"/>
    <w:rsid w:val="00782D29"/>
    <w:rsid w:val="007834E5"/>
    <w:rsid w:val="00785E5B"/>
    <w:rsid w:val="00791F94"/>
    <w:rsid w:val="007927B7"/>
    <w:rsid w:val="007945E5"/>
    <w:rsid w:val="007965A9"/>
    <w:rsid w:val="007A106E"/>
    <w:rsid w:val="007A562D"/>
    <w:rsid w:val="007B55D4"/>
    <w:rsid w:val="007B589B"/>
    <w:rsid w:val="007C1566"/>
    <w:rsid w:val="007C5A32"/>
    <w:rsid w:val="007D397F"/>
    <w:rsid w:val="007D7A9B"/>
    <w:rsid w:val="007E4B8F"/>
    <w:rsid w:val="007E5A93"/>
    <w:rsid w:val="007E6B80"/>
    <w:rsid w:val="007F1B7B"/>
    <w:rsid w:val="007F2484"/>
    <w:rsid w:val="007F4DCA"/>
    <w:rsid w:val="007F54E5"/>
    <w:rsid w:val="007F6D30"/>
    <w:rsid w:val="007F7A28"/>
    <w:rsid w:val="008040B4"/>
    <w:rsid w:val="008125F4"/>
    <w:rsid w:val="00814847"/>
    <w:rsid w:val="00814E39"/>
    <w:rsid w:val="0081649D"/>
    <w:rsid w:val="008169ED"/>
    <w:rsid w:val="008201EB"/>
    <w:rsid w:val="00824C83"/>
    <w:rsid w:val="00825EE8"/>
    <w:rsid w:val="00826F66"/>
    <w:rsid w:val="00830EBB"/>
    <w:rsid w:val="00832840"/>
    <w:rsid w:val="00840B53"/>
    <w:rsid w:val="00841C1B"/>
    <w:rsid w:val="00842CE7"/>
    <w:rsid w:val="00844C5E"/>
    <w:rsid w:val="00846512"/>
    <w:rsid w:val="0085319F"/>
    <w:rsid w:val="00856184"/>
    <w:rsid w:val="00856D03"/>
    <w:rsid w:val="008571A8"/>
    <w:rsid w:val="00857DD8"/>
    <w:rsid w:val="00872B8A"/>
    <w:rsid w:val="0087516A"/>
    <w:rsid w:val="00880C5F"/>
    <w:rsid w:val="00882011"/>
    <w:rsid w:val="00893AAE"/>
    <w:rsid w:val="008A40AD"/>
    <w:rsid w:val="008A58E2"/>
    <w:rsid w:val="008A6F6E"/>
    <w:rsid w:val="008C1BBF"/>
    <w:rsid w:val="008C36D0"/>
    <w:rsid w:val="008D34D6"/>
    <w:rsid w:val="008D5BB6"/>
    <w:rsid w:val="008D682C"/>
    <w:rsid w:val="008D7F04"/>
    <w:rsid w:val="008E0DF7"/>
    <w:rsid w:val="008F046F"/>
    <w:rsid w:val="008F25C8"/>
    <w:rsid w:val="008F466B"/>
    <w:rsid w:val="008F46D9"/>
    <w:rsid w:val="008F6100"/>
    <w:rsid w:val="0092622C"/>
    <w:rsid w:val="00926325"/>
    <w:rsid w:val="00935FE5"/>
    <w:rsid w:val="00937B55"/>
    <w:rsid w:val="009427C9"/>
    <w:rsid w:val="0094613F"/>
    <w:rsid w:val="00946C0C"/>
    <w:rsid w:val="00950508"/>
    <w:rsid w:val="00960371"/>
    <w:rsid w:val="00971BBC"/>
    <w:rsid w:val="0097445E"/>
    <w:rsid w:val="00977584"/>
    <w:rsid w:val="00982D74"/>
    <w:rsid w:val="009835EB"/>
    <w:rsid w:val="009964D8"/>
    <w:rsid w:val="00997441"/>
    <w:rsid w:val="009A1FD7"/>
    <w:rsid w:val="009A30E7"/>
    <w:rsid w:val="009A3285"/>
    <w:rsid w:val="009A559D"/>
    <w:rsid w:val="009B1D78"/>
    <w:rsid w:val="009C0A30"/>
    <w:rsid w:val="009C1ACE"/>
    <w:rsid w:val="009C4BF2"/>
    <w:rsid w:val="009C6406"/>
    <w:rsid w:val="009C6710"/>
    <w:rsid w:val="009E2370"/>
    <w:rsid w:val="009E6A45"/>
    <w:rsid w:val="009F0E6B"/>
    <w:rsid w:val="009F61C9"/>
    <w:rsid w:val="009F7F14"/>
    <w:rsid w:val="00A004EB"/>
    <w:rsid w:val="00A01C7E"/>
    <w:rsid w:val="00A04A71"/>
    <w:rsid w:val="00A064EF"/>
    <w:rsid w:val="00A1064D"/>
    <w:rsid w:val="00A13D5F"/>
    <w:rsid w:val="00A14F4C"/>
    <w:rsid w:val="00A177B3"/>
    <w:rsid w:val="00A26A75"/>
    <w:rsid w:val="00A276EF"/>
    <w:rsid w:val="00A30A4B"/>
    <w:rsid w:val="00A34629"/>
    <w:rsid w:val="00A401AB"/>
    <w:rsid w:val="00A46BF3"/>
    <w:rsid w:val="00A47F46"/>
    <w:rsid w:val="00A60FDC"/>
    <w:rsid w:val="00A63A46"/>
    <w:rsid w:val="00A6649A"/>
    <w:rsid w:val="00A71B6C"/>
    <w:rsid w:val="00A77EAC"/>
    <w:rsid w:val="00A831FA"/>
    <w:rsid w:val="00A92E67"/>
    <w:rsid w:val="00A93028"/>
    <w:rsid w:val="00AA2E2B"/>
    <w:rsid w:val="00AB014F"/>
    <w:rsid w:val="00AB4809"/>
    <w:rsid w:val="00AB64DA"/>
    <w:rsid w:val="00AB7C75"/>
    <w:rsid w:val="00AC2979"/>
    <w:rsid w:val="00AC354C"/>
    <w:rsid w:val="00AC4049"/>
    <w:rsid w:val="00AC5527"/>
    <w:rsid w:val="00AC5EE3"/>
    <w:rsid w:val="00AD42C7"/>
    <w:rsid w:val="00AE0466"/>
    <w:rsid w:val="00AE2A31"/>
    <w:rsid w:val="00AE6C8D"/>
    <w:rsid w:val="00AF05D3"/>
    <w:rsid w:val="00AF1EDC"/>
    <w:rsid w:val="00AF33D9"/>
    <w:rsid w:val="00B00AD6"/>
    <w:rsid w:val="00B01092"/>
    <w:rsid w:val="00B06B8B"/>
    <w:rsid w:val="00B159F7"/>
    <w:rsid w:val="00B17410"/>
    <w:rsid w:val="00B20510"/>
    <w:rsid w:val="00B21843"/>
    <w:rsid w:val="00B271F6"/>
    <w:rsid w:val="00B312D7"/>
    <w:rsid w:val="00B31FF3"/>
    <w:rsid w:val="00B51715"/>
    <w:rsid w:val="00B56667"/>
    <w:rsid w:val="00B62472"/>
    <w:rsid w:val="00B72B0D"/>
    <w:rsid w:val="00B7351C"/>
    <w:rsid w:val="00B738FF"/>
    <w:rsid w:val="00B741B7"/>
    <w:rsid w:val="00B7489C"/>
    <w:rsid w:val="00B901ED"/>
    <w:rsid w:val="00B90DD6"/>
    <w:rsid w:val="00BA2AF7"/>
    <w:rsid w:val="00BA6EFF"/>
    <w:rsid w:val="00BA7203"/>
    <w:rsid w:val="00BB3434"/>
    <w:rsid w:val="00BC33F1"/>
    <w:rsid w:val="00BD49EB"/>
    <w:rsid w:val="00C0597D"/>
    <w:rsid w:val="00C118DF"/>
    <w:rsid w:val="00C145E0"/>
    <w:rsid w:val="00C256DB"/>
    <w:rsid w:val="00C3183A"/>
    <w:rsid w:val="00C42087"/>
    <w:rsid w:val="00C502B7"/>
    <w:rsid w:val="00C507CE"/>
    <w:rsid w:val="00C53214"/>
    <w:rsid w:val="00C73DDA"/>
    <w:rsid w:val="00C83C01"/>
    <w:rsid w:val="00C84B9C"/>
    <w:rsid w:val="00C86AB6"/>
    <w:rsid w:val="00C97F79"/>
    <w:rsid w:val="00CB7BB6"/>
    <w:rsid w:val="00CC7D2B"/>
    <w:rsid w:val="00CD10EC"/>
    <w:rsid w:val="00CD1768"/>
    <w:rsid w:val="00CD2391"/>
    <w:rsid w:val="00CE0A52"/>
    <w:rsid w:val="00CE695F"/>
    <w:rsid w:val="00CE69D1"/>
    <w:rsid w:val="00CE7260"/>
    <w:rsid w:val="00D01264"/>
    <w:rsid w:val="00D026B7"/>
    <w:rsid w:val="00D06F9B"/>
    <w:rsid w:val="00D076DA"/>
    <w:rsid w:val="00D07A4E"/>
    <w:rsid w:val="00D139BF"/>
    <w:rsid w:val="00D14BE0"/>
    <w:rsid w:val="00D30DB4"/>
    <w:rsid w:val="00D332E9"/>
    <w:rsid w:val="00D41797"/>
    <w:rsid w:val="00D4342A"/>
    <w:rsid w:val="00D50707"/>
    <w:rsid w:val="00D51C07"/>
    <w:rsid w:val="00D51D92"/>
    <w:rsid w:val="00D535A9"/>
    <w:rsid w:val="00D54543"/>
    <w:rsid w:val="00D5572D"/>
    <w:rsid w:val="00D5752A"/>
    <w:rsid w:val="00D60FD9"/>
    <w:rsid w:val="00D62A6A"/>
    <w:rsid w:val="00D85271"/>
    <w:rsid w:val="00D85730"/>
    <w:rsid w:val="00D86197"/>
    <w:rsid w:val="00D90E55"/>
    <w:rsid w:val="00D91F3F"/>
    <w:rsid w:val="00D93206"/>
    <w:rsid w:val="00DA06A9"/>
    <w:rsid w:val="00DA0F8E"/>
    <w:rsid w:val="00DA21EA"/>
    <w:rsid w:val="00DB1B8F"/>
    <w:rsid w:val="00DB759A"/>
    <w:rsid w:val="00DC2F6C"/>
    <w:rsid w:val="00DC79C3"/>
    <w:rsid w:val="00DD0167"/>
    <w:rsid w:val="00DD3FC5"/>
    <w:rsid w:val="00DD50BD"/>
    <w:rsid w:val="00DE23B2"/>
    <w:rsid w:val="00DF3617"/>
    <w:rsid w:val="00DF5F1A"/>
    <w:rsid w:val="00E02B19"/>
    <w:rsid w:val="00E03B27"/>
    <w:rsid w:val="00E03F19"/>
    <w:rsid w:val="00E054EE"/>
    <w:rsid w:val="00E05641"/>
    <w:rsid w:val="00E16AE7"/>
    <w:rsid w:val="00E20474"/>
    <w:rsid w:val="00E24351"/>
    <w:rsid w:val="00E250B0"/>
    <w:rsid w:val="00E3022E"/>
    <w:rsid w:val="00E34CE1"/>
    <w:rsid w:val="00E5134F"/>
    <w:rsid w:val="00E560B1"/>
    <w:rsid w:val="00E61572"/>
    <w:rsid w:val="00E70925"/>
    <w:rsid w:val="00E72E51"/>
    <w:rsid w:val="00E81458"/>
    <w:rsid w:val="00E840AE"/>
    <w:rsid w:val="00E8494D"/>
    <w:rsid w:val="00E84CDD"/>
    <w:rsid w:val="00E86C23"/>
    <w:rsid w:val="00E94E76"/>
    <w:rsid w:val="00E95E3D"/>
    <w:rsid w:val="00E960DA"/>
    <w:rsid w:val="00E96E07"/>
    <w:rsid w:val="00EA057B"/>
    <w:rsid w:val="00EA240A"/>
    <w:rsid w:val="00EA32A2"/>
    <w:rsid w:val="00EA34F1"/>
    <w:rsid w:val="00EB0D30"/>
    <w:rsid w:val="00EC0E38"/>
    <w:rsid w:val="00EC263F"/>
    <w:rsid w:val="00EC4A2F"/>
    <w:rsid w:val="00EC512D"/>
    <w:rsid w:val="00ED464A"/>
    <w:rsid w:val="00EE05DE"/>
    <w:rsid w:val="00EE7A61"/>
    <w:rsid w:val="00EF45B4"/>
    <w:rsid w:val="00F00F3C"/>
    <w:rsid w:val="00F01E7E"/>
    <w:rsid w:val="00F03ABC"/>
    <w:rsid w:val="00F12415"/>
    <w:rsid w:val="00F12BEC"/>
    <w:rsid w:val="00F152FA"/>
    <w:rsid w:val="00F20076"/>
    <w:rsid w:val="00F22AB6"/>
    <w:rsid w:val="00F329DE"/>
    <w:rsid w:val="00F361F9"/>
    <w:rsid w:val="00F41752"/>
    <w:rsid w:val="00F425DC"/>
    <w:rsid w:val="00F50DDC"/>
    <w:rsid w:val="00F52CFC"/>
    <w:rsid w:val="00F602FC"/>
    <w:rsid w:val="00F64248"/>
    <w:rsid w:val="00F66AFD"/>
    <w:rsid w:val="00F75B3D"/>
    <w:rsid w:val="00F802DB"/>
    <w:rsid w:val="00F90D5D"/>
    <w:rsid w:val="00F927E2"/>
    <w:rsid w:val="00FA251F"/>
    <w:rsid w:val="00FA2951"/>
    <w:rsid w:val="00FB03BC"/>
    <w:rsid w:val="00FB7024"/>
    <w:rsid w:val="00FC2AAF"/>
    <w:rsid w:val="00FC461F"/>
    <w:rsid w:val="00FC5ECC"/>
    <w:rsid w:val="00FD357C"/>
    <w:rsid w:val="00FD3FF5"/>
    <w:rsid w:val="00FD7230"/>
    <w:rsid w:val="00FE148A"/>
    <w:rsid w:val="00FE69E8"/>
    <w:rsid w:val="00FF03D1"/>
    <w:rsid w:val="00FF3F72"/>
    <w:rsid w:val="00FF57ED"/>
    <w:rsid w:val="00FF7AB8"/>
    <w:rsid w:val="013A3557"/>
    <w:rsid w:val="015D5171"/>
    <w:rsid w:val="028BD67A"/>
    <w:rsid w:val="02F0068E"/>
    <w:rsid w:val="02FE9795"/>
    <w:rsid w:val="03E40269"/>
    <w:rsid w:val="04869D6F"/>
    <w:rsid w:val="04A16633"/>
    <w:rsid w:val="05633F89"/>
    <w:rsid w:val="096E543C"/>
    <w:rsid w:val="0E0A9E09"/>
    <w:rsid w:val="1042A79F"/>
    <w:rsid w:val="11D3AE1C"/>
    <w:rsid w:val="13398D87"/>
    <w:rsid w:val="13FA9B93"/>
    <w:rsid w:val="17FB0FF8"/>
    <w:rsid w:val="1CA6C9A0"/>
    <w:rsid w:val="22D2B6A2"/>
    <w:rsid w:val="25CFDEC2"/>
    <w:rsid w:val="2CFC76F6"/>
    <w:rsid w:val="309FD1C0"/>
    <w:rsid w:val="30F0F4C7"/>
    <w:rsid w:val="317846E8"/>
    <w:rsid w:val="3808EDDB"/>
    <w:rsid w:val="3A4E5C7F"/>
    <w:rsid w:val="3E4C6CAF"/>
    <w:rsid w:val="4050C341"/>
    <w:rsid w:val="405CB503"/>
    <w:rsid w:val="406F03CC"/>
    <w:rsid w:val="46178EB4"/>
    <w:rsid w:val="4871D2AC"/>
    <w:rsid w:val="4BFE1EDC"/>
    <w:rsid w:val="50E6A2A2"/>
    <w:rsid w:val="513D1636"/>
    <w:rsid w:val="5142A719"/>
    <w:rsid w:val="58497336"/>
    <w:rsid w:val="5A73D244"/>
    <w:rsid w:val="614205E4"/>
    <w:rsid w:val="630483EA"/>
    <w:rsid w:val="63F3576B"/>
    <w:rsid w:val="65D64363"/>
    <w:rsid w:val="683A0A58"/>
    <w:rsid w:val="68EB5DE1"/>
    <w:rsid w:val="6906AEEA"/>
    <w:rsid w:val="6DF6089F"/>
    <w:rsid w:val="6E56C435"/>
    <w:rsid w:val="6FDF130C"/>
    <w:rsid w:val="70D8CD20"/>
    <w:rsid w:val="76AC60DE"/>
    <w:rsid w:val="776F3C3E"/>
    <w:rsid w:val="7AA68A98"/>
    <w:rsid w:val="7B059FEA"/>
    <w:rsid w:val="7BA7E843"/>
    <w:rsid w:val="7FBA9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5A550"/>
  <w15:chartTrackingRefBased/>
  <w15:docId w15:val="{69FFAD6C-4C4D-4263-9F72-4C358952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62"/>
  </w:style>
  <w:style w:type="paragraph" w:styleId="Heading3">
    <w:name w:val="heading 3"/>
    <w:basedOn w:val="Normal"/>
    <w:link w:val="Heading3Char"/>
    <w:uiPriority w:val="9"/>
    <w:qFormat/>
    <w:rsid w:val="00020A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20A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20A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20A6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20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20A6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20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0A6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20A6D"/>
  </w:style>
  <w:style w:type="paragraph" w:styleId="BalloonText">
    <w:name w:val="Balloon Text"/>
    <w:basedOn w:val="Normal"/>
    <w:link w:val="BalloonTextChar"/>
    <w:uiPriority w:val="99"/>
    <w:semiHidden/>
    <w:unhideWhenUsed/>
    <w:rsid w:val="00FD3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5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5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5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57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8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5B"/>
  </w:style>
  <w:style w:type="paragraph" w:styleId="Footer">
    <w:name w:val="footer"/>
    <w:basedOn w:val="Normal"/>
    <w:link w:val="FooterChar"/>
    <w:uiPriority w:val="99"/>
    <w:unhideWhenUsed/>
    <w:rsid w:val="00785E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5B"/>
  </w:style>
  <w:style w:type="paragraph" w:styleId="ListParagraph">
    <w:name w:val="List Paragraph"/>
    <w:basedOn w:val="Normal"/>
    <w:uiPriority w:val="34"/>
    <w:qFormat/>
    <w:rsid w:val="00391A62"/>
    <w:pPr>
      <w:spacing w:after="200" w:line="276" w:lineRule="auto"/>
      <w:ind w:left="720"/>
      <w:contextualSpacing/>
    </w:pPr>
    <w:rPr>
      <w:rFonts w:ascii="Akzidenz Grotesk BE Regular" w:eastAsia="Calibri" w:hAnsi="Akzidenz Grotesk BE Regular" w:cs="Times New Roman"/>
      <w:sz w:val="24"/>
    </w:rPr>
  </w:style>
  <w:style w:type="paragraph" w:styleId="Revision">
    <w:name w:val="Revision"/>
    <w:hidden/>
    <w:uiPriority w:val="99"/>
    <w:semiHidden/>
    <w:rsid w:val="005164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2C1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A34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ocatc.org/wp-content/uploads/2026/03/COI-Form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ocatc.org/wp-content/uploads/2026/03/Content-Creator-Agreement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bocatc.org/wp-content/uploads/2026/03/Joint-Providership-Agreement-Template.doc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catc.org/document/2026-standards-for-boc-approved-provider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bocatc.org/wp-content/uploads/2026/03/COI-Disclaimer-Statements-Template.pptx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bocatc.org/wp-content/uploads/2026/03/Mitigation-Form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33cbca-aa9e-4c7e-84ea-4db6c7dfa10f" xsi:nil="true"/>
    <lcf76f155ced4ddcb4097134ff3c332f xmlns="5c3f9c5a-dbc5-4560-a922-f2e3fa713c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6BAEBBE21734EAFE20C81578858AB" ma:contentTypeVersion="19" ma:contentTypeDescription="Create a new document." ma:contentTypeScope="" ma:versionID="9c2e03a0fac1def376013234578476fb">
  <xsd:schema xmlns:xsd="http://www.w3.org/2001/XMLSchema" xmlns:xs="http://www.w3.org/2001/XMLSchema" xmlns:p="http://schemas.microsoft.com/office/2006/metadata/properties" xmlns:ns2="5c3f9c5a-dbc5-4560-a922-f2e3fa713caf" xmlns:ns3="de33cbca-aa9e-4c7e-84ea-4db6c7dfa10f" targetNamespace="http://schemas.microsoft.com/office/2006/metadata/properties" ma:root="true" ma:fieldsID="a4deaeee976aa6df44877223a7bd233b" ns2:_="" ns3:_="">
    <xsd:import namespace="5c3f9c5a-dbc5-4560-a922-f2e3fa713caf"/>
    <xsd:import namespace="de33cbca-aa9e-4c7e-84ea-4db6c7dfa1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9c5a-dbc5-4560-a922-f2e3fa713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5d45b1-2b68-4bc8-8834-dd635aea7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3cbca-aa9e-4c7e-84ea-4db6c7dfa1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e1fb0d-5188-45cc-bf2e-83aefc40e9fa}" ma:internalName="TaxCatchAll" ma:showField="CatchAllData" ma:web="de33cbca-aa9e-4c7e-84ea-4db6c7dfa1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8E07E-4A26-45CE-97BB-7F90C4B54086}">
  <ds:schemaRefs>
    <ds:schemaRef ds:uri="http://schemas.microsoft.com/office/2006/metadata/properties"/>
    <ds:schemaRef ds:uri="http://schemas.microsoft.com/office/infopath/2007/PartnerControls"/>
    <ds:schemaRef ds:uri="de33cbca-aa9e-4c7e-84ea-4db6c7dfa10f"/>
    <ds:schemaRef ds:uri="5c3f9c5a-dbc5-4560-a922-f2e3fa713caf"/>
  </ds:schemaRefs>
</ds:datastoreItem>
</file>

<file path=customXml/itemProps2.xml><?xml version="1.0" encoding="utf-8"?>
<ds:datastoreItem xmlns:ds="http://schemas.openxmlformats.org/officeDocument/2006/customXml" ds:itemID="{CBE1684A-31A1-4122-8E59-F6953E16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9c5a-dbc5-4560-a922-f2e3fa713caf"/>
    <ds:schemaRef ds:uri="de33cbca-aa9e-4c7e-84ea-4db6c7dfa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1D6FC-B173-4304-8762-3B3EE9C4E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2420</Words>
  <Characters>13795</Characters>
  <Application>Microsoft Office Word</Application>
  <DocSecurity>0</DocSecurity>
  <Lines>114</Lines>
  <Paragraphs>32</Paragraphs>
  <ScaleCrop>false</ScaleCrop>
  <Company/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 Williams</dc:creator>
  <cp:keywords/>
  <dc:description/>
  <cp:lastModifiedBy>Noelle Blood-Anderson</cp:lastModifiedBy>
  <cp:revision>48</cp:revision>
  <dcterms:created xsi:type="dcterms:W3CDTF">2026-02-16T16:39:00Z</dcterms:created>
  <dcterms:modified xsi:type="dcterms:W3CDTF">2026-03-05T19:38:00Z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0x010100F906BAEBBE21734EAFE20C81578858AB</vt:lpwstr>
  </property>
  <property fmtid="{D5CDD505-2E9C-101B-9397-08002B2CF9AE}" pid="3" name="MediaServiceImageTags">
    <vt:lpwstr/>
  </property>
  <property fmtid="{D5CDD505-2E9C-101B-9397-08002B2CF9AE}" pid="4" name="GrammarlyDocumentId">
    <vt:lpwstr>ef17d11f-8a16-4a6a-b876-c809aa26d860</vt:lpwstr>
  </property>
</Properties>
</file>